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5824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1145A75" w:rsidR="00FF5411" w:rsidRPr="00C02D72" w:rsidRDefault="002D063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41CAB">
                                  <w:rPr>
                                    <w:rFonts w:ascii="Arial" w:hAnsi="Arial" w:cs="Arial"/>
                                    <w:b/>
                                    <w:bCs/>
                                    <w:color w:val="FFFFFF" w:themeColor="background1"/>
                                    <w:sz w:val="32"/>
                                    <w:szCs w:val="28"/>
                                  </w:rPr>
                                  <w:t xml:space="preserve">Aula 4 - </w:t>
                                </w:r>
                                <w:r w:rsidR="00A41CAB">
                                  <w:rPr>
                                    <w:rFonts w:ascii="Arial" w:hAnsi="Arial" w:cs="Arial"/>
                                    <w:b/>
                                    <w:bCs/>
                                    <w:color w:val="FFFFFF" w:themeColor="background1"/>
                                    <w:sz w:val="32"/>
                                    <w:szCs w:val="28"/>
                                  </w:rPr>
                                  <w:tab/>
                                  <w:t>Introdução ao planejamento para vacinação do Covid-19 - Passo 8, 9 e 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1145A75" w:rsidR="00FF5411" w:rsidRPr="00C02D72" w:rsidRDefault="004B2B96"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41CAB">
                            <w:rPr>
                              <w:rFonts w:ascii="Arial" w:hAnsi="Arial" w:cs="Arial"/>
                              <w:b/>
                              <w:bCs/>
                              <w:color w:val="FFFFFF" w:themeColor="background1"/>
                              <w:sz w:val="32"/>
                              <w:szCs w:val="28"/>
                            </w:rPr>
                            <w:t xml:space="preserve">Aula 4 - </w:t>
                          </w:r>
                          <w:r w:rsidR="00A41CAB">
                            <w:rPr>
                              <w:rFonts w:ascii="Arial" w:hAnsi="Arial" w:cs="Arial"/>
                              <w:b/>
                              <w:bCs/>
                              <w:color w:val="FFFFFF" w:themeColor="background1"/>
                              <w:sz w:val="32"/>
                              <w:szCs w:val="28"/>
                            </w:rPr>
                            <w:tab/>
                            <w:t>Introdução ao planejamento para vacinação do Covid-19 - Passo 8, 9 e 10</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1"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A075A5" w:rsidRPr="00E5260A" w14:paraId="6C8E3C28"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35AA97CC" w14:textId="77777777" w:rsidR="00A075A5" w:rsidRPr="00E5260A" w:rsidRDefault="00A075A5" w:rsidP="005A5399">
            <w:pPr>
              <w:pStyle w:val="arttficha"/>
              <w:ind w:left="0"/>
              <w:rPr>
                <w:b/>
                <w:bCs/>
                <w:lang w:eastAsia="en-US"/>
              </w:rPr>
            </w:pPr>
            <w:r w:rsidRPr="00E5260A">
              <w:rPr>
                <w:b/>
                <w:bCs/>
                <w:sz w:val="20"/>
                <w:szCs w:val="18"/>
                <w:lang w:eastAsia="en-US"/>
              </w:rPr>
              <w:lastRenderedPageBreak/>
              <w:t>Ficha Técnica</w:t>
            </w:r>
          </w:p>
        </w:tc>
      </w:tr>
      <w:tr w:rsidR="00A075A5" w:rsidRPr="00E5260A" w14:paraId="18C5A8AC"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6BC93" w14:textId="77777777" w:rsidR="00A075A5" w:rsidRDefault="00A075A5" w:rsidP="005A5399">
            <w:pPr>
              <w:pStyle w:val="arttficha"/>
              <w:rPr>
                <w:b/>
                <w:bCs/>
                <w:lang w:eastAsia="en-US"/>
              </w:rPr>
            </w:pPr>
            <w:r w:rsidRPr="00356099">
              <w:rPr>
                <w:b/>
                <w:bCs/>
                <w:lang w:eastAsia="en-US"/>
              </w:rPr>
              <w:t xml:space="preserve">Supervisão - </w:t>
            </w:r>
            <w:r w:rsidRPr="00396E53">
              <w:rPr>
                <w:lang w:eastAsia="en-US"/>
              </w:rPr>
              <w:t>Sarah Mendes</w:t>
            </w:r>
          </w:p>
          <w:p w14:paraId="429D1890" w14:textId="77777777" w:rsidR="00A075A5" w:rsidRPr="00E5260A" w:rsidRDefault="00A075A5" w:rsidP="005A5399">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r w:rsidRPr="00396E53">
              <w:rPr>
                <w:lang w:eastAsia="en-US"/>
              </w:rPr>
              <w:t>Hirla Arruda</w:t>
            </w:r>
          </w:p>
          <w:p w14:paraId="1FC418E4" w14:textId="77777777" w:rsidR="00A075A5" w:rsidRDefault="00A075A5" w:rsidP="005A5399">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40FBAEBB" w14:textId="77777777" w:rsidR="00A075A5" w:rsidRDefault="00A075A5" w:rsidP="005A5399">
            <w:pPr>
              <w:pStyle w:val="arttficha"/>
              <w:rPr>
                <w:b/>
                <w:bCs/>
                <w:lang w:eastAsia="en-US"/>
              </w:rPr>
            </w:pPr>
            <w:r>
              <w:rPr>
                <w:b/>
                <w:bCs/>
                <w:lang w:eastAsia="en-US"/>
              </w:rPr>
              <w:t xml:space="preserve">Revisão técnica - </w:t>
            </w:r>
            <w:r w:rsidRPr="00396E53">
              <w:rPr>
                <w:lang w:eastAsia="en-US"/>
              </w:rPr>
              <w:t>Sarah Mendes</w:t>
            </w:r>
          </w:p>
          <w:p w14:paraId="126B15DA" w14:textId="77777777" w:rsidR="00A075A5" w:rsidRPr="004109E7" w:rsidRDefault="00A075A5" w:rsidP="005A5399">
            <w:pPr>
              <w:pStyle w:val="arttficha"/>
              <w:rPr>
                <w:b/>
                <w:bCs/>
                <w:lang w:eastAsia="en-US"/>
              </w:rPr>
            </w:pPr>
            <w:r>
              <w:rPr>
                <w:b/>
                <w:bCs/>
                <w:lang w:eastAsia="en-US"/>
              </w:rPr>
              <w:t xml:space="preserve">Revisão – </w:t>
            </w:r>
            <w:r w:rsidRPr="00396E53">
              <w:rPr>
                <w:lang w:eastAsia="en-US"/>
              </w:rPr>
              <w:t>Yorrana Martins</w:t>
            </w:r>
          </w:p>
          <w:p w14:paraId="3131FE79" w14:textId="77777777" w:rsidR="00A075A5" w:rsidRPr="00396E53" w:rsidRDefault="00A075A5" w:rsidP="005A5399">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65FC3D39" w14:textId="77777777" w:rsidR="00A075A5" w:rsidRPr="00E5260A" w:rsidRDefault="00A075A5" w:rsidP="005A5399">
            <w:pPr>
              <w:pStyle w:val="arttficha"/>
              <w:rPr>
                <w:rFonts w:ascii="Times New Roman" w:hAnsi="Times New Roman" w:cs="Times New Roman"/>
                <w:szCs w:val="24"/>
                <w:lang w:eastAsia="en-US"/>
              </w:rPr>
            </w:pPr>
            <w:r w:rsidRPr="00E5260A">
              <w:rPr>
                <w:b/>
                <w:bCs/>
                <w:lang w:eastAsia="en-US"/>
              </w:rPr>
              <w:t xml:space="preserve">Ilustração - </w:t>
            </w:r>
            <w:r w:rsidRPr="00396E53">
              <w:rPr>
                <w:lang w:eastAsia="en-US"/>
              </w:rPr>
              <w:t>Guilherme Duarte</w:t>
            </w:r>
          </w:p>
        </w:tc>
      </w:tr>
      <w:tr w:rsidR="00A075A5" w:rsidRPr="00E5260A" w14:paraId="703BD5A2"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1E496B6" w14:textId="77777777" w:rsidR="00A075A5" w:rsidRPr="00E5260A" w:rsidRDefault="00A075A5" w:rsidP="005A5399">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6976C837" w14:textId="77777777" w:rsidR="00A075A5" w:rsidRDefault="00A075A5" w:rsidP="005A5399">
            <w:pPr>
              <w:pStyle w:val="arttficha"/>
              <w:rPr>
                <w:lang w:eastAsia="en-US"/>
              </w:rPr>
            </w:pPr>
            <w:r w:rsidRPr="00396E53">
              <w:rPr>
                <w:lang w:eastAsia="en-US"/>
              </w:rPr>
              <w:t>Sara Ferraz</w:t>
            </w:r>
          </w:p>
          <w:p w14:paraId="0CEBC8D0" w14:textId="77777777" w:rsidR="00A075A5" w:rsidRPr="00DE3911" w:rsidRDefault="00A075A5" w:rsidP="005A5399">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4C839D71" w14:textId="77777777" w:rsidR="00A075A5" w:rsidRPr="00396E53" w:rsidRDefault="00A075A5" w:rsidP="005A5399">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54F2E45B" w14:textId="6475FDE4" w:rsidR="001673EA"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4868" w:history="1">
                  <w:r w:rsidR="001673EA" w:rsidRPr="0086081B">
                    <w:rPr>
                      <w:rStyle w:val="Hyperlink"/>
                      <w:rFonts w:eastAsia="Arial"/>
                      <w:noProof/>
                    </w:rPr>
                    <w:t>Introdução</w:t>
                  </w:r>
                  <w:r w:rsidR="001673EA">
                    <w:rPr>
                      <w:noProof/>
                      <w:webHidden/>
                    </w:rPr>
                    <w:tab/>
                  </w:r>
                  <w:r w:rsidR="001673EA">
                    <w:rPr>
                      <w:noProof/>
                      <w:webHidden/>
                    </w:rPr>
                    <w:fldChar w:fldCharType="begin"/>
                  </w:r>
                  <w:r w:rsidR="001673EA">
                    <w:rPr>
                      <w:noProof/>
                      <w:webHidden/>
                    </w:rPr>
                    <w:instrText xml:space="preserve"> PAGEREF _Toc65684868 \h </w:instrText>
                  </w:r>
                  <w:r w:rsidR="001673EA">
                    <w:rPr>
                      <w:noProof/>
                      <w:webHidden/>
                    </w:rPr>
                  </w:r>
                  <w:r w:rsidR="001673EA">
                    <w:rPr>
                      <w:noProof/>
                      <w:webHidden/>
                    </w:rPr>
                    <w:fldChar w:fldCharType="separate"/>
                  </w:r>
                  <w:r w:rsidR="002D0631">
                    <w:rPr>
                      <w:noProof/>
                      <w:webHidden/>
                    </w:rPr>
                    <w:t>6</w:t>
                  </w:r>
                  <w:r w:rsidR="001673EA">
                    <w:rPr>
                      <w:noProof/>
                      <w:webHidden/>
                    </w:rPr>
                    <w:fldChar w:fldCharType="end"/>
                  </w:r>
                </w:hyperlink>
              </w:p>
              <w:p w14:paraId="052F48E2" w14:textId="399DB87C" w:rsidR="001673EA" w:rsidRDefault="002D0631">
                <w:pPr>
                  <w:pStyle w:val="Sumrio2"/>
                  <w:rPr>
                    <w:rFonts w:eastAsiaTheme="minorEastAsia"/>
                    <w:noProof/>
                  </w:rPr>
                </w:pPr>
                <w:hyperlink w:anchor="_Toc65684869" w:history="1">
                  <w:r w:rsidR="001673EA" w:rsidRPr="0086081B">
                    <w:rPr>
                      <w:rStyle w:val="Hyperlink"/>
                      <w:rFonts w:eastAsia="Arial"/>
                      <w:noProof/>
                    </w:rPr>
                    <w:t>Passo 8. Gestão e descarte de resíduos</w:t>
                  </w:r>
                  <w:r w:rsidR="001673EA">
                    <w:rPr>
                      <w:noProof/>
                      <w:webHidden/>
                    </w:rPr>
                    <w:tab/>
                  </w:r>
                  <w:r w:rsidR="001673EA">
                    <w:rPr>
                      <w:noProof/>
                      <w:webHidden/>
                    </w:rPr>
                    <w:fldChar w:fldCharType="begin"/>
                  </w:r>
                  <w:r w:rsidR="001673EA">
                    <w:rPr>
                      <w:noProof/>
                      <w:webHidden/>
                    </w:rPr>
                    <w:instrText xml:space="preserve"> PAGEREF _Toc65684869 \h </w:instrText>
                  </w:r>
                  <w:r w:rsidR="001673EA">
                    <w:rPr>
                      <w:noProof/>
                      <w:webHidden/>
                    </w:rPr>
                  </w:r>
                  <w:r w:rsidR="001673EA">
                    <w:rPr>
                      <w:noProof/>
                      <w:webHidden/>
                    </w:rPr>
                    <w:fldChar w:fldCharType="separate"/>
                  </w:r>
                  <w:r>
                    <w:rPr>
                      <w:noProof/>
                      <w:webHidden/>
                    </w:rPr>
                    <w:t>6</w:t>
                  </w:r>
                  <w:r w:rsidR="001673EA">
                    <w:rPr>
                      <w:noProof/>
                      <w:webHidden/>
                    </w:rPr>
                    <w:fldChar w:fldCharType="end"/>
                  </w:r>
                </w:hyperlink>
              </w:p>
              <w:p w14:paraId="020BC712" w14:textId="16C356D2" w:rsidR="001673EA" w:rsidRDefault="002D0631">
                <w:pPr>
                  <w:pStyle w:val="Sumrio2"/>
                  <w:rPr>
                    <w:rFonts w:eastAsiaTheme="minorEastAsia"/>
                    <w:noProof/>
                  </w:rPr>
                </w:pPr>
                <w:hyperlink w:anchor="_Toc65684870" w:history="1">
                  <w:r w:rsidR="001673EA" w:rsidRPr="0086081B">
                    <w:rPr>
                      <w:rStyle w:val="Hyperlink"/>
                      <w:rFonts w:eastAsia="Arial"/>
                      <w:noProof/>
                    </w:rPr>
                    <w:t>Passo 9. Gestão de eventos adversos pós-vacinação</w:t>
                  </w:r>
                  <w:r w:rsidR="001673EA">
                    <w:rPr>
                      <w:noProof/>
                      <w:webHidden/>
                    </w:rPr>
                    <w:tab/>
                  </w:r>
                  <w:r w:rsidR="001673EA">
                    <w:rPr>
                      <w:noProof/>
                      <w:webHidden/>
                    </w:rPr>
                    <w:fldChar w:fldCharType="begin"/>
                  </w:r>
                  <w:r w:rsidR="001673EA">
                    <w:rPr>
                      <w:noProof/>
                      <w:webHidden/>
                    </w:rPr>
                    <w:instrText xml:space="preserve"> PAGEREF _Toc65684870 \h </w:instrText>
                  </w:r>
                  <w:r w:rsidR="001673EA">
                    <w:rPr>
                      <w:noProof/>
                      <w:webHidden/>
                    </w:rPr>
                  </w:r>
                  <w:r w:rsidR="001673EA">
                    <w:rPr>
                      <w:noProof/>
                      <w:webHidden/>
                    </w:rPr>
                    <w:fldChar w:fldCharType="separate"/>
                  </w:r>
                  <w:r>
                    <w:rPr>
                      <w:noProof/>
                      <w:webHidden/>
                    </w:rPr>
                    <w:t>7</w:t>
                  </w:r>
                  <w:r w:rsidR="001673EA">
                    <w:rPr>
                      <w:noProof/>
                      <w:webHidden/>
                    </w:rPr>
                    <w:fldChar w:fldCharType="end"/>
                  </w:r>
                </w:hyperlink>
              </w:p>
              <w:p w14:paraId="18E09D29" w14:textId="48071ACA" w:rsidR="001673EA" w:rsidRDefault="002D0631">
                <w:pPr>
                  <w:pStyle w:val="Sumrio2"/>
                  <w:rPr>
                    <w:rFonts w:eastAsiaTheme="minorEastAsia"/>
                    <w:noProof/>
                  </w:rPr>
                </w:pPr>
                <w:hyperlink w:anchor="_Toc65684871" w:history="1">
                  <w:r w:rsidR="001673EA" w:rsidRPr="0086081B">
                    <w:rPr>
                      <w:rStyle w:val="Hyperlink"/>
                      <w:rFonts w:eastAsia="Arial"/>
                      <w:noProof/>
                    </w:rPr>
                    <w:t>Passo 10. Comunicação e engajamento comunitário</w:t>
                  </w:r>
                  <w:r w:rsidR="001673EA">
                    <w:rPr>
                      <w:noProof/>
                      <w:webHidden/>
                    </w:rPr>
                    <w:tab/>
                  </w:r>
                  <w:r w:rsidR="001673EA">
                    <w:rPr>
                      <w:noProof/>
                      <w:webHidden/>
                    </w:rPr>
                    <w:fldChar w:fldCharType="begin"/>
                  </w:r>
                  <w:r w:rsidR="001673EA">
                    <w:rPr>
                      <w:noProof/>
                      <w:webHidden/>
                    </w:rPr>
                    <w:instrText xml:space="preserve"> PAGEREF _Toc65684871 \h </w:instrText>
                  </w:r>
                  <w:r w:rsidR="001673EA">
                    <w:rPr>
                      <w:noProof/>
                      <w:webHidden/>
                    </w:rPr>
                  </w:r>
                  <w:r w:rsidR="001673EA">
                    <w:rPr>
                      <w:noProof/>
                      <w:webHidden/>
                    </w:rPr>
                    <w:fldChar w:fldCharType="separate"/>
                  </w:r>
                  <w:r>
                    <w:rPr>
                      <w:noProof/>
                      <w:webHidden/>
                    </w:rPr>
                    <w:t>11</w:t>
                  </w:r>
                  <w:r w:rsidR="001673EA">
                    <w:rPr>
                      <w:noProof/>
                      <w:webHidden/>
                    </w:rPr>
                    <w:fldChar w:fldCharType="end"/>
                  </w:r>
                </w:hyperlink>
              </w:p>
              <w:p w14:paraId="7BF9FA65" w14:textId="128684BA" w:rsidR="001673EA" w:rsidRDefault="002D0631">
                <w:pPr>
                  <w:pStyle w:val="Sumrio1"/>
                  <w:rPr>
                    <w:rFonts w:asciiTheme="minorHAnsi" w:eastAsiaTheme="minorEastAsia" w:hAnsiTheme="minorHAnsi" w:cstheme="minorBidi"/>
                    <w:noProof/>
                    <w:sz w:val="22"/>
                    <w:lang w:bidi="ar-SA"/>
                  </w:rPr>
                </w:pPr>
                <w:hyperlink w:anchor="_Toc65684872" w:history="1">
                  <w:r w:rsidR="001673EA" w:rsidRPr="0086081B">
                    <w:rPr>
                      <w:rStyle w:val="Hyperlink"/>
                      <w:rFonts w:eastAsia="Arial"/>
                      <w:noProof/>
                    </w:rPr>
                    <w:t>Conclusão</w:t>
                  </w:r>
                  <w:r w:rsidR="001673EA">
                    <w:rPr>
                      <w:noProof/>
                      <w:webHidden/>
                    </w:rPr>
                    <w:tab/>
                  </w:r>
                  <w:r w:rsidR="001673EA">
                    <w:rPr>
                      <w:noProof/>
                      <w:webHidden/>
                    </w:rPr>
                    <w:fldChar w:fldCharType="begin"/>
                  </w:r>
                  <w:r w:rsidR="001673EA">
                    <w:rPr>
                      <w:noProof/>
                      <w:webHidden/>
                    </w:rPr>
                    <w:instrText xml:space="preserve"> PAGEREF _Toc65684872 \h </w:instrText>
                  </w:r>
                  <w:r w:rsidR="001673EA">
                    <w:rPr>
                      <w:noProof/>
                      <w:webHidden/>
                    </w:rPr>
                  </w:r>
                  <w:r w:rsidR="001673EA">
                    <w:rPr>
                      <w:noProof/>
                      <w:webHidden/>
                    </w:rPr>
                    <w:fldChar w:fldCharType="separate"/>
                  </w:r>
                  <w:r>
                    <w:rPr>
                      <w:noProof/>
                      <w:webHidden/>
                    </w:rPr>
                    <w:t>12</w:t>
                  </w:r>
                  <w:r w:rsidR="001673EA">
                    <w:rPr>
                      <w:noProof/>
                      <w:webHidden/>
                    </w:rPr>
                    <w:fldChar w:fldCharType="end"/>
                  </w:r>
                </w:hyperlink>
              </w:p>
              <w:p w14:paraId="29AE96E0" w14:textId="4007F6FE" w:rsidR="00B53B48" w:rsidRPr="00B53B48" w:rsidRDefault="00B53B48" w:rsidP="00186C24">
                <w:pPr>
                  <w:rPr>
                    <w:bCs/>
                  </w:rPr>
                </w:pPr>
                <w:r w:rsidRPr="00B53B48">
                  <w:fldChar w:fldCharType="end"/>
                </w:r>
              </w:p>
              <w:p w14:paraId="19BA7306" w14:textId="2A1EBEF8" w:rsidR="00B53B48" w:rsidRPr="00B53B48" w:rsidRDefault="002D0631"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CE1C85">
        <w:trPr>
          <w:trHeight w:val="20"/>
        </w:trPr>
        <w:tc>
          <w:tcPr>
            <w:tcW w:w="11906" w:type="dxa"/>
            <w:shd w:val="clear" w:color="auto" w:fill="2A7138"/>
          </w:tcPr>
          <w:p w14:paraId="3AD05A42" w14:textId="38971D87" w:rsidR="00543966" w:rsidRPr="001F03C4" w:rsidRDefault="002D0631"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A41CAB" w:rsidRPr="00A41CAB">
                  <w:t xml:space="preserve">Aula </w:t>
                </w:r>
                <w:r w:rsidR="00A41CAB">
                  <w:t>4</w:t>
                </w:r>
                <w:r w:rsidR="00A41CAB" w:rsidRPr="00A41CAB">
                  <w:t xml:space="preserve"> - </w:t>
                </w:r>
                <w:r w:rsidR="00A41CAB" w:rsidRPr="00A41CAB">
                  <w:tab/>
                  <w:t>Introdução ao planejamento para vacinação do Covid-19 - Passo 8, 9 e 10</w:t>
                </w:r>
              </w:sdtContent>
            </w:sdt>
          </w:p>
        </w:tc>
      </w:tr>
      <w:tr w:rsidR="00E5774C" w14:paraId="2D11A176" w14:textId="77777777" w:rsidTr="00CE1C85">
        <w:trPr>
          <w:trHeight w:val="20"/>
        </w:trPr>
        <w:tc>
          <w:tcPr>
            <w:tcW w:w="11906" w:type="dxa"/>
          </w:tcPr>
          <w:p w14:paraId="54998A6B" w14:textId="77868643" w:rsidR="00954660" w:rsidRPr="009E24F4" w:rsidRDefault="00D12C53" w:rsidP="009E24F4">
            <w:pPr>
              <w:pStyle w:val="Pimagem"/>
            </w:pPr>
            <w:r w:rsidRPr="009E24F4">
              <w:rPr>
                <w:noProof/>
              </w:rPr>
              <w:drawing>
                <wp:inline distT="0" distB="0" distL="0" distR="0" wp14:anchorId="64A33F8C" wp14:editId="10FB40AA">
                  <wp:extent cx="5601354" cy="30181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3" cstate="print">
                            <a:extLst>
                              <a:ext uri="{28A0092B-C50C-407E-A947-70E740481C1C}">
                                <a14:useLocalDpi xmlns:a14="http://schemas.microsoft.com/office/drawing/2010/main" val="0"/>
                              </a:ext>
                            </a:extLst>
                          </a:blip>
                          <a:srcRect t="9581" b="9581"/>
                          <a:stretch>
                            <a:fillRect/>
                          </a:stretch>
                        </pic:blipFill>
                        <pic:spPr bwMode="auto">
                          <a:xfrm>
                            <a:off x="0" y="0"/>
                            <a:ext cx="5601354" cy="3018135"/>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5F26AB68" w:rsidR="00E5774C" w:rsidRPr="00954660" w:rsidRDefault="00954660" w:rsidP="00954660">
            <w:pPr>
              <w:pStyle w:val="Legenda"/>
            </w:pPr>
            <w:r w:rsidRPr="00954660">
              <w:t xml:space="preserve">Figura </w:t>
            </w:r>
            <w:fldSimple w:instr=" SEQ Figura \* ARABIC ">
              <w:r w:rsidR="002D0631">
                <w:rPr>
                  <w:noProof/>
                </w:rPr>
                <w:t>1</w:t>
              </w:r>
            </w:fldSimple>
            <w:r w:rsidRPr="00954660">
              <w:t xml:space="preserve"> - Garoto recebendo </w:t>
            </w:r>
            <w:r w:rsidR="00712A26" w:rsidRPr="00954660">
              <w:t>vacina para</w:t>
            </w:r>
            <w:r w:rsidRPr="00954660">
              <w:t xml:space="preserve"> caxumba sarampo e rubéola, vacina MMR Por twenty20photos</w:t>
            </w:r>
          </w:p>
        </w:tc>
      </w:tr>
      <w:tr w:rsidR="00024196" w14:paraId="0088E06F" w14:textId="77777777" w:rsidTr="00CE1C85">
        <w:trPr>
          <w:trHeight w:val="20"/>
        </w:trPr>
        <w:tc>
          <w:tcPr>
            <w:tcW w:w="11906" w:type="dxa"/>
          </w:tcPr>
          <w:p w14:paraId="4E12B196" w14:textId="77777777" w:rsidR="00260E30" w:rsidRDefault="00260E30" w:rsidP="00260E30">
            <w:pPr>
              <w:pStyle w:val="Ppargrafo"/>
            </w:pPr>
            <w:r>
              <w:t>Olá!</w:t>
            </w:r>
          </w:p>
          <w:p w14:paraId="186BF453" w14:textId="3E33B2CA" w:rsidR="00024196" w:rsidRPr="00E5774C" w:rsidRDefault="00260E30" w:rsidP="00260E30">
            <w:pPr>
              <w:pStyle w:val="Ppargrafo"/>
              <w:rPr>
                <w:rFonts w:ascii="Times New Roman" w:eastAsia="Times New Roman" w:hAnsi="Times New Roman" w:cs="Times New Roman"/>
              </w:rPr>
            </w:pPr>
            <w:r>
              <w:t>Nesta aula você vai aprender sobre a gestão e descarte de resíduos, gestão de eventos adversos pós-vacinação e comunicação e engajamento comunitário.</w:t>
            </w:r>
          </w:p>
        </w:tc>
      </w:tr>
      <w:tr w:rsidR="00024196" w14:paraId="67C51118" w14:textId="77777777" w:rsidTr="00CE1C85">
        <w:trPr>
          <w:trHeight w:val="20"/>
        </w:trPr>
        <w:tc>
          <w:tcPr>
            <w:tcW w:w="11906" w:type="dxa"/>
          </w:tcPr>
          <w:p w14:paraId="72A093BB" w14:textId="77777777" w:rsidR="007E7B22" w:rsidRDefault="007E7B22" w:rsidP="007E7B22">
            <w:pPr>
              <w:pStyle w:val="Ppargrafo"/>
            </w:pPr>
            <w:r>
              <w:t>Ao final desta aula, você será capaz de:</w:t>
            </w:r>
          </w:p>
          <w:p w14:paraId="15506293" w14:textId="77777777" w:rsidR="007E7B22" w:rsidRDefault="007E7B22" w:rsidP="007E7B22">
            <w:pPr>
              <w:pStyle w:val="PBullets"/>
            </w:pPr>
            <w:r>
              <w:t>Entender como se dá a gestão e o descarte de resíduos;</w:t>
            </w:r>
          </w:p>
          <w:p w14:paraId="47E25BC5" w14:textId="77777777" w:rsidR="007E7B22" w:rsidRDefault="007E7B22" w:rsidP="007E7B22">
            <w:pPr>
              <w:pStyle w:val="PBullets"/>
            </w:pPr>
            <w:r>
              <w:t>Verificar os dados mínimos para gestão de eventos adversos pós-vacinação;</w:t>
            </w:r>
          </w:p>
          <w:p w14:paraId="51E78183" w14:textId="77777777" w:rsidR="007E7B22" w:rsidRDefault="007E7B22" w:rsidP="007E7B22">
            <w:pPr>
              <w:pStyle w:val="PBullets"/>
            </w:pPr>
            <w:r>
              <w:t>Entender quais os principais eventos adversos relacionados a pós-vacinação;</w:t>
            </w:r>
          </w:p>
          <w:p w14:paraId="39605C7A" w14:textId="77777777" w:rsidR="007E7B22" w:rsidRDefault="007E7B22" w:rsidP="007E7B22">
            <w:pPr>
              <w:pStyle w:val="PBullets"/>
            </w:pPr>
            <w:r>
              <w:t>Elaborar registro dos eventos adversos pós-vacinação;</w:t>
            </w:r>
          </w:p>
          <w:p w14:paraId="1E16B25B" w14:textId="33151329" w:rsidR="00024196" w:rsidRDefault="007E7B22" w:rsidP="007E7B22">
            <w:pPr>
              <w:pStyle w:val="PBullets"/>
            </w:pPr>
            <w:r>
              <w:t xml:space="preserve">Compreender a importância do engajamento comunitário para a campanha de vacinação. </w:t>
            </w:r>
          </w:p>
        </w:tc>
      </w:tr>
    </w:tbl>
    <w:p w14:paraId="466592D0" w14:textId="4E1F7177" w:rsidR="00E5774C" w:rsidRDefault="00E5774C">
      <w:r>
        <w:br w:type="page"/>
      </w:r>
    </w:p>
    <w:tbl>
      <w:tblPr>
        <w:tblStyle w:val="Ptabela"/>
        <w:tblW w:w="5000" w:type="pct"/>
        <w:tblLook w:val="04A0" w:firstRow="1" w:lastRow="0" w:firstColumn="1" w:lastColumn="0" w:noHBand="0" w:noVBand="1"/>
      </w:tblPr>
      <w:tblGrid>
        <w:gridCol w:w="11906"/>
      </w:tblGrid>
      <w:tr w:rsidR="00B939EF" w:rsidRPr="00BE5D1D" w14:paraId="3AABD9CB" w14:textId="77777777" w:rsidTr="00CE1C85">
        <w:trPr>
          <w:trHeight w:val="20"/>
        </w:trPr>
        <w:tc>
          <w:tcPr>
            <w:tcW w:w="11906" w:type="dxa"/>
            <w:shd w:val="clear" w:color="auto" w:fill="F1F9F1"/>
          </w:tcPr>
          <w:p w14:paraId="60CD2FB3" w14:textId="77777777" w:rsidR="00B939EF" w:rsidRPr="00BE5D1D" w:rsidRDefault="00B939EF" w:rsidP="00024196">
            <w:pPr>
              <w:pStyle w:val="P1Ttulonumerado"/>
              <w:rPr>
                <w:rFonts w:ascii="Times New Roman" w:eastAsia="Times New Roman" w:hAnsi="Times New Roman" w:cs="Times New Roman"/>
              </w:rPr>
            </w:pPr>
            <w:bookmarkStart w:id="0" w:name="_Toc65684868"/>
            <w:r w:rsidRPr="00BE5D1D">
              <w:rPr>
                <w:rFonts w:eastAsia="Arial"/>
              </w:rPr>
              <w:lastRenderedPageBreak/>
              <w:t>Introdução</w:t>
            </w:r>
            <w:bookmarkEnd w:id="0"/>
          </w:p>
        </w:tc>
      </w:tr>
      <w:tr w:rsidR="00B939EF" w:rsidRPr="00BE5D1D" w14:paraId="50E43A7C" w14:textId="77777777" w:rsidTr="00CE1C85">
        <w:trPr>
          <w:trHeight w:val="20"/>
        </w:trPr>
        <w:tc>
          <w:tcPr>
            <w:tcW w:w="11906" w:type="dxa"/>
          </w:tcPr>
          <w:p w14:paraId="2A8BD12B" w14:textId="1A08E83B" w:rsidR="00B939EF" w:rsidRPr="00BE5D1D" w:rsidRDefault="007B0927" w:rsidP="00024196">
            <w:pPr>
              <w:pStyle w:val="Ppargrafo"/>
              <w:rPr>
                <w:rFonts w:ascii="Times New Roman" w:eastAsia="Times New Roman" w:hAnsi="Times New Roman" w:cs="Times New Roman"/>
              </w:rPr>
            </w:pPr>
            <w:r w:rsidRPr="007B0927">
              <w:t xml:space="preserve">Como temos visto, o planejamento da campanha de vacinação passa por </w:t>
            </w:r>
            <w:r w:rsidRPr="007B0927">
              <w:rPr>
                <w:b/>
                <w:bCs/>
              </w:rPr>
              <w:t>passos de organização</w:t>
            </w:r>
            <w:r w:rsidRPr="007B0927">
              <w:t>. Porém, esses passos não precisam ocorrer de forma sequencial, mas é importante que todos ocorram. Nesse sentido, já vimos que devemos identificar a população-alvo, ou seja, aqueles que primeiro deverão se vacinar, e com isso listar os insumos e recursos necessários para atingir o objetivo final. Não podemos nos esquecer de elaborar quais estratégias serão utilizadas para a vacinação, considerando todos os grupos prioritários. A seguir, vamos tratar de mais três passos:  a gestão e descarte de resíduos, a gestão de eventos adversos pós-vacinação e o engajamento comunitário.</w:t>
            </w:r>
          </w:p>
        </w:tc>
      </w:tr>
      <w:tr w:rsidR="00B939EF" w:rsidRPr="00BE5D1D" w14:paraId="49552222" w14:textId="77777777" w:rsidTr="00CE1C85">
        <w:trPr>
          <w:trHeight w:val="20"/>
        </w:trPr>
        <w:tc>
          <w:tcPr>
            <w:tcW w:w="11906" w:type="dxa"/>
            <w:shd w:val="clear" w:color="auto" w:fill="F1F9F1"/>
          </w:tcPr>
          <w:p w14:paraId="59F93AE4" w14:textId="3A0D1868" w:rsidR="00B939EF" w:rsidRPr="00BE5D1D" w:rsidRDefault="000B5BF2" w:rsidP="008C368E">
            <w:pPr>
              <w:pStyle w:val="P11Ttulonumerado"/>
              <w:rPr>
                <w:rFonts w:eastAsia="Arial"/>
              </w:rPr>
            </w:pPr>
            <w:bookmarkStart w:id="1" w:name="_Toc65684869"/>
            <w:r w:rsidRPr="000B5BF2">
              <w:rPr>
                <w:rFonts w:eastAsia="Arial"/>
              </w:rPr>
              <w:t>Passo 8. Gestão e descarte de resíduos</w:t>
            </w:r>
            <w:bookmarkEnd w:id="1"/>
          </w:p>
        </w:tc>
      </w:tr>
      <w:tr w:rsidR="00B939EF" w:rsidRPr="00BE5D1D" w14:paraId="63EB54C2" w14:textId="77777777" w:rsidTr="00CE1C85">
        <w:trPr>
          <w:trHeight w:val="20"/>
        </w:trPr>
        <w:tc>
          <w:tcPr>
            <w:tcW w:w="11906" w:type="dxa"/>
          </w:tcPr>
          <w:p w14:paraId="6A1933F6" w14:textId="73902093" w:rsidR="00B939EF" w:rsidRPr="00BE5D1D" w:rsidRDefault="00B15DE5" w:rsidP="00B15DE5">
            <w:pPr>
              <w:pStyle w:val="Ppargrafo"/>
            </w:pPr>
            <w:r>
              <w:t xml:space="preserve">Durante a campanha de vacinação a geração de </w:t>
            </w:r>
            <w:r>
              <w:rPr>
                <w:b/>
              </w:rPr>
              <w:t xml:space="preserve">resíduos </w:t>
            </w:r>
            <w:r>
              <w:t xml:space="preserve">dos serviços de saúde será ampliada substancialmente. Os principais resíduos gerados durante a atividade de vacinação são frascos de vacina, seringas, agulhas e equipamentos de proteção individual (EPI), entre outros. Todos esses resíduos gerados durante a campanha de vacinação deverão ser descartados e destinados adequadamente, de acordo com a </w:t>
            </w:r>
            <w:r>
              <w:rPr>
                <w:b/>
              </w:rPr>
              <w:t>legislação vigente</w:t>
            </w:r>
            <w:r>
              <w:t>. Dessa forma, é importante que o município (OPAS, 2020a):</w:t>
            </w:r>
          </w:p>
        </w:tc>
      </w:tr>
      <w:tr w:rsidR="00B939EF" w:rsidRPr="00BE5D1D" w14:paraId="14FE9C67" w14:textId="77777777" w:rsidTr="00CE1C85">
        <w:trPr>
          <w:trHeight w:val="20"/>
        </w:trPr>
        <w:tc>
          <w:tcPr>
            <w:tcW w:w="11906" w:type="dxa"/>
          </w:tcPr>
          <w:p w14:paraId="58A62E0E" w14:textId="77777777" w:rsidR="003F5943" w:rsidRDefault="003F5943" w:rsidP="003F5943">
            <w:pPr>
              <w:pStyle w:val="PBullets"/>
            </w:pPr>
            <w:r>
              <w:rPr>
                <w:b/>
              </w:rPr>
              <w:t>Revise os regulamentos nacionais</w:t>
            </w:r>
            <w:r>
              <w:t xml:space="preserve"> de descarte e destinação de resíduos de serviços de saúde;</w:t>
            </w:r>
          </w:p>
          <w:p w14:paraId="7A41B642" w14:textId="77777777" w:rsidR="003F5943" w:rsidRDefault="003F5943" w:rsidP="003F5943">
            <w:pPr>
              <w:pStyle w:val="PBullets"/>
            </w:pPr>
            <w:r>
              <w:rPr>
                <w:b/>
              </w:rPr>
              <w:t>Estabeleça diretrizes</w:t>
            </w:r>
            <w:r>
              <w:t xml:space="preserve"> de gerenciamento de resíduos sólidos, caso ainda não possua;</w:t>
            </w:r>
          </w:p>
          <w:p w14:paraId="45FA06C0" w14:textId="77777777" w:rsidR="003F5943" w:rsidRDefault="003F5943" w:rsidP="003F5943">
            <w:pPr>
              <w:pStyle w:val="PBullets"/>
            </w:pPr>
            <w:r>
              <w:rPr>
                <w:b/>
              </w:rPr>
              <w:t>Estime os volumes</w:t>
            </w:r>
            <w:r>
              <w:t xml:space="preserve"> de resíduos que serão gerados durante a campanha;</w:t>
            </w:r>
          </w:p>
          <w:p w14:paraId="23E1C87F" w14:textId="77777777" w:rsidR="003F5943" w:rsidRDefault="003F5943" w:rsidP="003F5943">
            <w:pPr>
              <w:pStyle w:val="PBullets"/>
            </w:pPr>
            <w:r>
              <w:rPr>
                <w:b/>
              </w:rPr>
              <w:t>Defina rotas</w:t>
            </w:r>
            <w:r>
              <w:t xml:space="preserve"> de gerenciamento e eliminação dos resíduos dentro das instituições;</w:t>
            </w:r>
          </w:p>
          <w:p w14:paraId="27D57453" w14:textId="77777777" w:rsidR="003F5943" w:rsidRDefault="003F5943" w:rsidP="003F5943">
            <w:pPr>
              <w:pStyle w:val="PBullets"/>
            </w:pPr>
            <w:r>
              <w:rPr>
                <w:b/>
              </w:rPr>
              <w:lastRenderedPageBreak/>
              <w:t>Articule a coordenação</w:t>
            </w:r>
            <w:r>
              <w:t xml:space="preserve"> entre as unidades de processamento e autoridades de saúde locais;</w:t>
            </w:r>
          </w:p>
          <w:p w14:paraId="6D273A90" w14:textId="14CDBC24" w:rsidR="00B939EF" w:rsidRPr="003F5943" w:rsidRDefault="003F5943" w:rsidP="003F5943">
            <w:pPr>
              <w:pStyle w:val="PBullets"/>
            </w:pPr>
            <w:r>
              <w:t xml:space="preserve">Determine </w:t>
            </w:r>
            <w:r>
              <w:rPr>
                <w:b/>
              </w:rPr>
              <w:t>métodos de eliminação</w:t>
            </w:r>
            <w:r>
              <w:t xml:space="preserve"> de resíduos.</w:t>
            </w:r>
          </w:p>
        </w:tc>
      </w:tr>
      <w:tr w:rsidR="004D6EE1" w:rsidRPr="00BE5D1D" w14:paraId="6906CBE8" w14:textId="77777777" w:rsidTr="00CE1C85">
        <w:trPr>
          <w:trHeight w:val="20"/>
        </w:trPr>
        <w:tc>
          <w:tcPr>
            <w:tcW w:w="11906" w:type="dxa"/>
          </w:tcPr>
          <w:p w14:paraId="1CD3162F" w14:textId="47CEA5D5" w:rsidR="004D6EE1" w:rsidRPr="00A95339" w:rsidRDefault="004D6EE1" w:rsidP="004D6EE1">
            <w:pPr>
              <w:pStyle w:val="Ppargrafo"/>
              <w:rPr>
                <w:noProof/>
              </w:rPr>
            </w:pPr>
            <w:r w:rsidRPr="001F7B8D">
              <w:lastRenderedPageBreak/>
              <w:t xml:space="preserve">É importante lembrar da classificação do </w:t>
            </w:r>
            <w:r w:rsidRPr="001F7B8D">
              <w:rPr>
                <w:b/>
              </w:rPr>
              <w:t>tipo de descarte</w:t>
            </w:r>
            <w:r w:rsidRPr="001F7B8D">
              <w:t>. Existem materiais que podem ser descartados em lixeiras comuns, outros precisam ser indicados como possível contaminação. Então, é necessário ficar atento e identificar corretamente.</w:t>
            </w:r>
          </w:p>
        </w:tc>
      </w:tr>
      <w:tr w:rsidR="004D6EE1" w:rsidRPr="00BE5D1D" w14:paraId="51C4B9E8" w14:textId="77777777" w:rsidTr="00CE1C85">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1E253D" w14:paraId="3BE87536" w14:textId="77777777" w:rsidTr="0062699A">
              <w:tc>
                <w:tcPr>
                  <w:tcW w:w="1000" w:type="pct"/>
                  <w:shd w:val="clear" w:color="auto" w:fill="auto"/>
                  <w:hideMark/>
                </w:tcPr>
                <w:p w14:paraId="20FDDF35" w14:textId="44D6725B" w:rsidR="001E253D" w:rsidRPr="00A95339" w:rsidRDefault="00B77E3A" w:rsidP="001E253D">
                  <w:pPr>
                    <w:pStyle w:val="txtrec"/>
                    <w:jc w:val="center"/>
                  </w:pPr>
                  <w:r>
                    <w:rPr>
                      <w:noProof/>
                    </w:rPr>
                    <w:drawing>
                      <wp:inline distT="0" distB="0" distL="0" distR="0" wp14:anchorId="7BA9E013" wp14:editId="71EDEBC4">
                        <wp:extent cx="1209675" cy="120967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28EB67A" w14:textId="77777777" w:rsidR="00161DC3" w:rsidRPr="00161DC3" w:rsidRDefault="00161DC3" w:rsidP="00161DC3">
                  <w:pPr>
                    <w:pStyle w:val="txtrec"/>
                    <w:rPr>
                      <w:b/>
                      <w:bCs/>
                    </w:rPr>
                  </w:pPr>
                  <w:r w:rsidRPr="00161DC3">
                    <w:rPr>
                      <w:b/>
                      <w:bCs/>
                    </w:rPr>
                    <w:t>Curiosidade!</w:t>
                  </w:r>
                </w:p>
                <w:p w14:paraId="4668C208" w14:textId="032BCE1C" w:rsidR="001E253D" w:rsidRPr="00B337A2" w:rsidRDefault="007579F1" w:rsidP="00161DC3">
                  <w:pPr>
                    <w:pStyle w:val="txtrec"/>
                  </w:pPr>
                  <w:r w:rsidRPr="007579F1">
                    <w:t>Os resíduos podem ser classificados em: potencialmente infectantes, resíduos químicos, resíduos radioativos, resíduos equiparados aos resíduos domiciliares (resíduos comuns) e resíduos perfurocortantes. Para cada tipo de resíduo existe uma regulação específica.</w:t>
                  </w:r>
                </w:p>
              </w:tc>
            </w:tr>
          </w:tbl>
          <w:p w14:paraId="61DC0BFC" w14:textId="77777777" w:rsidR="004D6EE1" w:rsidRPr="001F7B8D" w:rsidRDefault="004D6EE1" w:rsidP="004D6EE1">
            <w:pPr>
              <w:pStyle w:val="Ppargrafo"/>
            </w:pPr>
          </w:p>
        </w:tc>
      </w:tr>
      <w:tr w:rsidR="00B939EF" w:rsidRPr="00BE5D1D" w14:paraId="7C0EE746" w14:textId="77777777" w:rsidTr="00CE1C85">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B337A2" w14:paraId="1538921D" w14:textId="77777777" w:rsidTr="00854DE8">
              <w:tc>
                <w:tcPr>
                  <w:tcW w:w="1000" w:type="pct"/>
                  <w:shd w:val="clear" w:color="auto" w:fill="auto"/>
                  <w:hideMark/>
                </w:tcPr>
                <w:p w14:paraId="6C076AEE" w14:textId="42CB9565" w:rsidR="00B337A2" w:rsidRPr="00A95339" w:rsidRDefault="003A1367" w:rsidP="00B337A2">
                  <w:pPr>
                    <w:pStyle w:val="txtrec"/>
                    <w:jc w:val="center"/>
                  </w:pPr>
                  <w:bookmarkStart w:id="2" w:name="_Hlk65449023"/>
                  <w:r>
                    <w:rPr>
                      <w:noProof/>
                    </w:rPr>
                    <w:drawing>
                      <wp:inline distT="0" distB="0" distL="0" distR="0" wp14:anchorId="32C696E8" wp14:editId="172F0914">
                        <wp:extent cx="1209675" cy="1209675"/>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B8ADA91" w14:textId="3BFD9EB8" w:rsidR="00161DC3" w:rsidRPr="00935B66" w:rsidRDefault="0004225D" w:rsidP="00161DC3">
                  <w:pPr>
                    <w:pStyle w:val="txtrec"/>
                  </w:pPr>
                  <w:r>
                    <w:t>Fica a Dica</w:t>
                  </w:r>
                </w:p>
                <w:p w14:paraId="739E2684" w14:textId="6563CEFC" w:rsidR="00B337A2" w:rsidRPr="00B337A2" w:rsidRDefault="008401EF" w:rsidP="00161DC3">
                  <w:pPr>
                    <w:pStyle w:val="txtrec"/>
                  </w:pPr>
                  <w:r w:rsidRPr="008401EF">
                    <w:t>É importante adotar medidas para descarte de resíduos utilizados em pacientes infectados.</w:t>
                  </w:r>
                </w:p>
              </w:tc>
            </w:tr>
            <w:bookmarkEnd w:id="2"/>
          </w:tbl>
          <w:p w14:paraId="06C2D916" w14:textId="77777777" w:rsidR="00B939EF" w:rsidRPr="00BE5D1D" w:rsidRDefault="00B939EF" w:rsidP="00C54AC6">
            <w:pPr>
              <w:spacing w:line="360" w:lineRule="auto"/>
              <w:jc w:val="both"/>
              <w:rPr>
                <w:rFonts w:ascii="Arial" w:eastAsia="Arial" w:hAnsi="Arial" w:cs="Arial"/>
                <w:sz w:val="24"/>
                <w:szCs w:val="24"/>
              </w:rPr>
            </w:pPr>
          </w:p>
        </w:tc>
      </w:tr>
      <w:tr w:rsidR="00B939EF" w:rsidRPr="00BE5D1D" w14:paraId="525C230D" w14:textId="77777777" w:rsidTr="00CE1C85">
        <w:trPr>
          <w:trHeight w:val="20"/>
        </w:trPr>
        <w:tc>
          <w:tcPr>
            <w:tcW w:w="11906" w:type="dxa"/>
            <w:shd w:val="clear" w:color="auto" w:fill="F1F9F1"/>
          </w:tcPr>
          <w:p w14:paraId="616A9ED4" w14:textId="1AD1D112" w:rsidR="00B939EF" w:rsidRPr="00BE5D1D" w:rsidRDefault="00DE72A1" w:rsidP="00DE72A1">
            <w:pPr>
              <w:pStyle w:val="P11Ttulonumerado"/>
              <w:rPr>
                <w:rFonts w:eastAsia="Arial"/>
              </w:rPr>
            </w:pPr>
            <w:bookmarkStart w:id="3" w:name="_Toc65684870"/>
            <w:r w:rsidRPr="00DE72A1">
              <w:rPr>
                <w:rFonts w:eastAsia="Arial"/>
              </w:rPr>
              <w:t>Passo 9. Gestão de eventos adversos pós-vacinação</w:t>
            </w:r>
            <w:bookmarkEnd w:id="3"/>
          </w:p>
        </w:tc>
      </w:tr>
      <w:tr w:rsidR="00B939EF" w:rsidRPr="00BE5D1D" w14:paraId="637B6C45" w14:textId="77777777" w:rsidTr="00CE1C85">
        <w:trPr>
          <w:trHeight w:val="20"/>
        </w:trPr>
        <w:tc>
          <w:tcPr>
            <w:tcW w:w="11906" w:type="dxa"/>
          </w:tcPr>
          <w:p w14:paraId="4B67AD98" w14:textId="6BB5AAFE" w:rsidR="00B939EF" w:rsidRPr="00CB74FC" w:rsidRDefault="00CB74FC" w:rsidP="00CB74FC">
            <w:pPr>
              <w:pStyle w:val="Ppargrafo"/>
            </w:pPr>
            <w:r>
              <w:t xml:space="preserve">As vacinas contra a Covid-19 são inéditas, usam novas tecnologias de produção e estão sendo introduzidas de forma acelerada na população. Frente a essa rápida introdução, há grande interesse na caracterização do perfil de segurança das vacinas contra a Covid-19. Adicionalmente, esta introdução massiva também pode desencadear um aumento no número de notificações de </w:t>
            </w:r>
            <w:r>
              <w:rPr>
                <w:b/>
              </w:rPr>
              <w:t>eventos adversos pós-vacinais</w:t>
            </w:r>
            <w:r>
              <w:t xml:space="preserve"> (EAPV), tornando necessário o fortalecimento dos sistemas de vigilância desses eventos no município, em especial no manejo, </w:t>
            </w:r>
            <w:r>
              <w:rPr>
                <w:b/>
              </w:rPr>
              <w:t>identificação, notificação e investigação</w:t>
            </w:r>
            <w:r>
              <w:t xml:space="preserve"> (OMS, 2020d).</w:t>
            </w:r>
          </w:p>
        </w:tc>
      </w:tr>
      <w:tr w:rsidR="00B939EF" w:rsidRPr="00BE5D1D" w14:paraId="347959C5" w14:textId="77777777" w:rsidTr="00CE1C85">
        <w:trPr>
          <w:trHeight w:val="20"/>
        </w:trPr>
        <w:tc>
          <w:tcPr>
            <w:tcW w:w="11906" w:type="dxa"/>
          </w:tcPr>
          <w:p w14:paraId="10F57AEC" w14:textId="52272C49" w:rsidR="00B939EF" w:rsidRPr="00BE5D1D" w:rsidRDefault="00EB659A" w:rsidP="00EB659A">
            <w:pPr>
              <w:pStyle w:val="Ppargrafo"/>
            </w:pPr>
            <w:r>
              <w:lastRenderedPageBreak/>
              <w:t xml:space="preserve">Eventos adversos pós-vacinação são quaisquer eventos médicos indesejáveis que ocorrem após a vacinação, esses eventos </w:t>
            </w:r>
            <w:r>
              <w:rPr>
                <w:b/>
              </w:rPr>
              <w:t>não necessariamente têm uma relação causal com a vacinação</w:t>
            </w:r>
            <w:r>
              <w:t xml:space="preserve"> e podem ser qualquer evento desfavorável ou sinal não intencional, sintoma, doença ou achado laboratorial anormal apresentado pelo paciente. No contexto da pandemia da Covid-19 os eventos adversos podem ter diferentes implicações, como (OMS, 2020d):</w:t>
            </w:r>
          </w:p>
        </w:tc>
      </w:tr>
      <w:tr w:rsidR="00B939EF" w:rsidRPr="00BE5D1D" w14:paraId="7404320C" w14:textId="77777777" w:rsidTr="00CE1C85">
        <w:trPr>
          <w:trHeight w:val="20"/>
        </w:trPr>
        <w:tc>
          <w:tcPr>
            <w:tcW w:w="11906" w:type="dxa"/>
          </w:tcPr>
          <w:p w14:paraId="528395DA" w14:textId="77777777" w:rsidR="001904DF" w:rsidRDefault="001904DF" w:rsidP="001904DF">
            <w:pPr>
              <w:pStyle w:val="PBullets"/>
            </w:pPr>
            <w:r>
              <w:rPr>
                <w:b/>
              </w:rPr>
              <w:t>Produto vacinal</w:t>
            </w:r>
            <w:r>
              <w:t xml:space="preserve">: reações causadas devido uma ou mais propriedades inerentes dos produtos utilizados na vacina; </w:t>
            </w:r>
          </w:p>
          <w:p w14:paraId="1D189B19" w14:textId="77777777" w:rsidR="001904DF" w:rsidRDefault="001904DF" w:rsidP="001904DF">
            <w:pPr>
              <w:pStyle w:val="PBullets"/>
            </w:pPr>
            <w:r>
              <w:rPr>
                <w:b/>
              </w:rPr>
              <w:t>Defeitos de qualidade da vacina</w:t>
            </w:r>
            <w:r>
              <w:t>: reações causadas por defeitos da vacina ou seu dispositivo de administração;</w:t>
            </w:r>
          </w:p>
          <w:p w14:paraId="5402CBD2" w14:textId="77777777" w:rsidR="001904DF" w:rsidRDefault="001904DF" w:rsidP="001904DF">
            <w:pPr>
              <w:pStyle w:val="PBullets"/>
            </w:pPr>
            <w:r>
              <w:rPr>
                <w:b/>
              </w:rPr>
              <w:t>Erros de vacinação</w:t>
            </w:r>
            <w:r>
              <w:t>: reações causadas pelo manuseio inadequado, prescrição ou administração da vacina. Provavelmente haverá ampla falta de experiência dos vacinadores no manuseio de vacinas que exigem condições especiais de armazenamento a -70ºC ou possuem novos dispositivos para a administração;</w:t>
            </w:r>
          </w:p>
          <w:p w14:paraId="0A522AE8" w14:textId="77777777" w:rsidR="001904DF" w:rsidRDefault="001904DF" w:rsidP="001904DF">
            <w:pPr>
              <w:pStyle w:val="PBullets"/>
            </w:pPr>
            <w:r>
              <w:rPr>
                <w:b/>
              </w:rPr>
              <w:t>Reação relacionada à ansiedade de vacinação</w:t>
            </w:r>
            <w:r>
              <w:t>: reação decorrente da ansiedade quanto à vacinação. A população idosa pode ser particularmente afetada, essas reações incluem fatores como a novidade da vacinação, ambientes diferentes de vacinação, entre outros;</w:t>
            </w:r>
          </w:p>
          <w:p w14:paraId="2E75B096" w14:textId="7B0DE882" w:rsidR="00B939EF" w:rsidRPr="001904DF" w:rsidRDefault="001904DF" w:rsidP="001904DF">
            <w:pPr>
              <w:pStyle w:val="PBullets"/>
            </w:pPr>
            <w:r>
              <w:rPr>
                <w:b/>
              </w:rPr>
              <w:t>Evento coincidente</w:t>
            </w:r>
            <w:r>
              <w:t xml:space="preserve">: reação causada por outros motivos, além dos já citados. </w:t>
            </w:r>
          </w:p>
        </w:tc>
      </w:tr>
      <w:tr w:rsidR="00B939EF" w:rsidRPr="00BE5D1D" w14:paraId="1CEF0771" w14:textId="77777777" w:rsidTr="00CE1C85">
        <w:trPr>
          <w:trHeight w:val="20"/>
        </w:trPr>
        <w:tc>
          <w:tcPr>
            <w:tcW w:w="11906" w:type="dxa"/>
          </w:tcPr>
          <w:p w14:paraId="6000E21B" w14:textId="63086E46" w:rsidR="00B939EF" w:rsidRPr="00FB0FE9" w:rsidRDefault="00FB0FE9" w:rsidP="006D37D0">
            <w:pPr>
              <w:pStyle w:val="Ppargrafo"/>
            </w:pPr>
            <w:r>
              <w:t xml:space="preserve">Algumas reações já foram identificadas por meio de estudos realizados em vacinas nas fases </w:t>
            </w:r>
            <w:r w:rsidRPr="006D37D0">
              <w:rPr>
                <w:u w:val="single"/>
              </w:rPr>
              <w:t>de</w:t>
            </w:r>
            <w:r>
              <w:t xml:space="preserve"> teste, onde destacou-se principalmente </w:t>
            </w:r>
            <w:r>
              <w:rPr>
                <w:b/>
              </w:rPr>
              <w:t>dor no local da aplicação</w:t>
            </w:r>
            <w:r>
              <w:t xml:space="preserve"> (BADEN et al., 2020; BRASIL, 2020b; SADOFF et al., 2020; XIA et al., 2020; FOLEGATTI et al., 2020).</w:t>
            </w:r>
          </w:p>
        </w:tc>
      </w:tr>
      <w:tr w:rsidR="00B939EF" w:rsidRPr="00BE5D1D" w14:paraId="47ADD8D7" w14:textId="77777777" w:rsidTr="00CE1C85">
        <w:trPr>
          <w:trHeight w:val="20"/>
        </w:trPr>
        <w:tc>
          <w:tcPr>
            <w:tcW w:w="11906" w:type="dxa"/>
          </w:tcPr>
          <w:p w14:paraId="18FD4788" w14:textId="075646B7" w:rsidR="00B939EF" w:rsidRPr="00716D9D" w:rsidRDefault="00716D9D" w:rsidP="006D37D0">
            <w:pPr>
              <w:pStyle w:val="Ppargrafo"/>
            </w:pPr>
            <w:r>
              <w:t xml:space="preserve">As atividades de monitoramento que podem ser adotadas para acompanhar os EAPV no município, dependerão estritamente dos recursos disponíveis e da maturidade dos sistemas de </w:t>
            </w:r>
            <w:r>
              <w:rPr>
                <w:b/>
              </w:rPr>
              <w:t>farmacovigilância do território</w:t>
            </w:r>
            <w:r>
              <w:t xml:space="preserve">. Nesse sentido, a </w:t>
            </w:r>
            <w:r>
              <w:lastRenderedPageBreak/>
              <w:t>Organização Mundial da Saúde estabelece no documento Covid-19 vaccines: safety surveillance manual (OMS, 2020d) que sistemas já estabelecidos de vigilância de EAPV precisarão passar por adaptações para enfrentar desafios específicos acarretados pela pandemia do novo coronavírus, esses desafios englobam (OMS,2020d):</w:t>
            </w:r>
          </w:p>
        </w:tc>
      </w:tr>
      <w:tr w:rsidR="00B939EF" w:rsidRPr="00BE5D1D" w14:paraId="71664D98" w14:textId="77777777" w:rsidTr="00CE1C85">
        <w:trPr>
          <w:trHeight w:val="20"/>
        </w:trPr>
        <w:tc>
          <w:tcPr>
            <w:tcW w:w="11906" w:type="dxa"/>
          </w:tcPr>
          <w:p w14:paraId="1F476B20" w14:textId="77777777" w:rsidR="00866E54" w:rsidRDefault="00866E54" w:rsidP="00866E54">
            <w:pPr>
              <w:pStyle w:val="PBullets"/>
            </w:pPr>
            <w:r>
              <w:rPr>
                <w:b/>
              </w:rPr>
              <w:lastRenderedPageBreak/>
              <w:t>Obter informações</w:t>
            </w:r>
            <w:r>
              <w:t xml:space="preserve"> completas sobre </w:t>
            </w:r>
            <w:r>
              <w:rPr>
                <w:b/>
              </w:rPr>
              <w:t>todas as vacinas</w:t>
            </w:r>
            <w:r>
              <w:t>, uma vez que é provável que mais de um tipo de vacina seja utilizado durante a campanha;</w:t>
            </w:r>
          </w:p>
          <w:p w14:paraId="11E572A2" w14:textId="77777777" w:rsidR="00866E54" w:rsidRDefault="00866E54" w:rsidP="00866E54">
            <w:pPr>
              <w:pStyle w:val="PBullets"/>
            </w:pPr>
            <w:r>
              <w:t xml:space="preserve">Obter informações completas </w:t>
            </w:r>
            <w:r>
              <w:rPr>
                <w:b/>
              </w:rPr>
              <w:t>sobre o paciente</w:t>
            </w:r>
            <w:r>
              <w:t xml:space="preserve"> que apresenta alguma reação adversa, como uso de medicamentos;</w:t>
            </w:r>
          </w:p>
          <w:p w14:paraId="2A6B79AF" w14:textId="77777777" w:rsidR="00866E54" w:rsidRDefault="00866E54" w:rsidP="00866E54">
            <w:pPr>
              <w:pStyle w:val="PBullets"/>
            </w:pPr>
            <w:r>
              <w:rPr>
                <w:b/>
              </w:rPr>
              <w:t>Acompanhar coortes</w:t>
            </w:r>
            <w:r>
              <w:t xml:space="preserve"> de pessoas vacinadas por pelo menos um ano para detecção de eventos adversos de especial interesse, como agravamento de Covid-19 associado à vacinação;</w:t>
            </w:r>
          </w:p>
          <w:p w14:paraId="7827F754" w14:textId="77777777" w:rsidR="00866E54" w:rsidRDefault="00866E54" w:rsidP="00866E54">
            <w:pPr>
              <w:pStyle w:val="PBullets"/>
            </w:pPr>
            <w:r>
              <w:t xml:space="preserve">Garantir que o </w:t>
            </w:r>
            <w:r>
              <w:rPr>
                <w:b/>
              </w:rPr>
              <w:t>sistema em vigor seja capaz de detectar</w:t>
            </w:r>
            <w:r>
              <w:t xml:space="preserve"> EAPV na população-alvo, uma vez que adultos possuem maiores taxas de comorbidades ocasionando associações coincidentes;</w:t>
            </w:r>
          </w:p>
          <w:p w14:paraId="304839AB" w14:textId="77777777" w:rsidR="00866E54" w:rsidRDefault="00866E54" w:rsidP="00866E54">
            <w:pPr>
              <w:pStyle w:val="PBullets"/>
            </w:pPr>
            <w:r>
              <w:rPr>
                <w:b/>
              </w:rPr>
              <w:t>Dispor de especialistas</w:t>
            </w:r>
            <w:r>
              <w:t xml:space="preserve"> capazes de avaliar esses eventos em adultos e pessoas com condições médicas complexas;</w:t>
            </w:r>
          </w:p>
          <w:p w14:paraId="5DD91B2D" w14:textId="77777777" w:rsidR="00866E54" w:rsidRDefault="00866E54" w:rsidP="00866E54">
            <w:pPr>
              <w:pStyle w:val="PBullets"/>
            </w:pPr>
            <w:r>
              <w:t xml:space="preserve">Conseguir acomodar a </w:t>
            </w:r>
            <w:r>
              <w:rPr>
                <w:b/>
              </w:rPr>
              <w:t>notificação de um grande número de eventos</w:t>
            </w:r>
            <w:r>
              <w:t xml:space="preserve">, devido à grande proporção da população que será vacinada; </w:t>
            </w:r>
          </w:p>
          <w:p w14:paraId="73647EED" w14:textId="4F950DA4" w:rsidR="00B939EF" w:rsidRPr="00866E54" w:rsidRDefault="00866E54" w:rsidP="00866E54">
            <w:pPr>
              <w:pStyle w:val="PBullets"/>
            </w:pPr>
            <w:r>
              <w:t xml:space="preserve">Garantir uma </w:t>
            </w:r>
            <w:r>
              <w:rPr>
                <w:b/>
              </w:rPr>
              <w:t>estratégia de comunicação</w:t>
            </w:r>
            <w:r>
              <w:t xml:space="preserve"> rápida e eficiente de qualquer evento adverso.</w:t>
            </w:r>
          </w:p>
        </w:tc>
      </w:tr>
      <w:tr w:rsidR="00866E54" w:rsidRPr="00BE5D1D" w14:paraId="37DBFF56" w14:textId="77777777" w:rsidTr="00CE1C85">
        <w:trPr>
          <w:trHeight w:val="20"/>
        </w:trPr>
        <w:tc>
          <w:tcPr>
            <w:tcW w:w="11906" w:type="dxa"/>
          </w:tcPr>
          <w:p w14:paraId="680C3862" w14:textId="21901657" w:rsidR="00866E54" w:rsidRDefault="00A81799" w:rsidP="00A81799">
            <w:pPr>
              <w:pStyle w:val="Ppargrafo"/>
            </w:pPr>
            <w:r>
              <w:t xml:space="preserve">Consequentemente, todos os envolvidos na gestão de eventos adversos no município devem se esforçar para aprimorar e fortalecer suas capacidades de vigilância, seja ela </w:t>
            </w:r>
            <w:r>
              <w:rPr>
                <w:b/>
              </w:rPr>
              <w:t>passiva, ativa, sentinela ou através de um estudo de coorte</w:t>
            </w:r>
            <w:r>
              <w:t>, agilizando processos como o envio de dados para bases de dados nacionais. A vigilância de EAPV engloba diferentes etapas, como identificar o evento, notificar, elaborar relatório, investigar o fato, analisar os dados, avaliar a causalidade e devolver o feedback para todos os envolvidos, todas essas etapas, sem exceção, devem ser aprimoradas e fortalecidas (OMS, 2020d; OPAS, 2020a).</w:t>
            </w:r>
          </w:p>
        </w:tc>
      </w:tr>
      <w:tr w:rsidR="00A81799" w:rsidRPr="00BE5D1D" w14:paraId="744DF15C" w14:textId="77777777" w:rsidTr="00CE1C85">
        <w:trPr>
          <w:trHeight w:val="20"/>
        </w:trPr>
        <w:tc>
          <w:tcPr>
            <w:tcW w:w="11906" w:type="dxa"/>
          </w:tcPr>
          <w:p w14:paraId="69D6E64C" w14:textId="4D365713" w:rsidR="00A81799" w:rsidRPr="00162A51" w:rsidRDefault="00162A51" w:rsidP="00162A51">
            <w:pPr>
              <w:pStyle w:val="Ppargrafo"/>
            </w:pPr>
            <w:r>
              <w:lastRenderedPageBreak/>
              <w:t xml:space="preserve">A vigilância da </w:t>
            </w:r>
            <w:r>
              <w:rPr>
                <w:b/>
              </w:rPr>
              <w:t>segurança das vacinas</w:t>
            </w:r>
            <w:r>
              <w:t xml:space="preserve"> introduzidas no município deve: facilitar a detecção precoce de eventos adversos pós-vacinação e eventos adversos de especial interesse; gerar dados que caracterizam o perfil de segurança das vacinas utilizadas; ajudar a monitorar a relação aceitável de risco-benefício; identificar, investigar e validar os sinais de segurança; e ajudar a manter a confiança da comunidade em relação a vacina (OMS, 2020d).</w:t>
            </w:r>
          </w:p>
        </w:tc>
      </w:tr>
      <w:tr w:rsidR="00A81799" w:rsidRPr="00BE5D1D" w14:paraId="7B439385" w14:textId="77777777" w:rsidTr="00CE1C85">
        <w:trPr>
          <w:trHeight w:val="20"/>
        </w:trPr>
        <w:tc>
          <w:tcPr>
            <w:tcW w:w="11906" w:type="dxa"/>
          </w:tcPr>
          <w:p w14:paraId="17177DD8" w14:textId="410F4998" w:rsidR="00A81799" w:rsidRPr="006A57C3" w:rsidRDefault="006A57C3" w:rsidP="006A57C3">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A vigilância passiva de rotina já realizada é fundamental para todas as estratégias de vacinação adotadas. Entretanto, os sistemas de rotina precisarão ser aprimorados com implementação de vigilância ativa para melhorar a detecção de EAPV no município. Alguns eventos relatados de EAPV podem ser utilizados para desencadear investigações adicionais, mas para isso é necessário que ocorra conscientização sobre esses eventos a todas as partes interessadas, desde a ponta até as instâncias nacionais (OMS, 2020d).</w:t>
            </w:r>
          </w:p>
        </w:tc>
      </w:tr>
      <w:tr w:rsidR="006A57C3" w:rsidRPr="00BE5D1D" w14:paraId="06612B90" w14:textId="77777777" w:rsidTr="00CE1C85">
        <w:trPr>
          <w:trHeight w:val="20"/>
        </w:trPr>
        <w:tc>
          <w:tcPr>
            <w:tcW w:w="11906" w:type="dxa"/>
          </w:tcPr>
          <w:p w14:paraId="1530A61C" w14:textId="7AFFC541" w:rsidR="006A57C3" w:rsidRDefault="006840A7" w:rsidP="006A57C3">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Outro importante componente que deve ser trabalhado no município, são os protocolos específicos que devem ser adotados para investigar os óbitos após a vacinação contra a Covid-19. O número de óbitos durante uma pandemia é elevado e a gestão de EAPV deve estar atenta aos óbitos que ocorrerem em pessoas com histórico de vacinação. Nos indivíduos que vierem a óbito podem ser adotados os mesmos protocolos de autópsia adotados para indivíduos com suspeita d</w:t>
            </w:r>
            <w:r>
              <w:rPr>
                <w:rFonts w:ascii="Arial" w:eastAsia="Arial" w:hAnsi="Arial" w:cs="Arial"/>
                <w:sz w:val="24"/>
                <w:szCs w:val="24"/>
              </w:rPr>
              <w:t>a</w:t>
            </w:r>
            <w:r>
              <w:rPr>
                <w:rFonts w:ascii="Arial" w:eastAsia="Arial" w:hAnsi="Arial" w:cs="Arial"/>
                <w:color w:val="000000"/>
                <w:sz w:val="24"/>
                <w:szCs w:val="24"/>
              </w:rPr>
              <w:t xml:space="preserve"> Covid-19. A autópsia e envio de amostras desses indivíduos para análise é o mais indicado, entretanto, quando uma autópsia não puder ser realizada, deve-se conduzir uma autópsia verbal utilizando o protocolo padrão do município para esse tipo de abordagem (OMS, 2020d).</w:t>
            </w:r>
          </w:p>
        </w:tc>
      </w:tr>
      <w:tr w:rsidR="006A57C3" w:rsidRPr="00BE5D1D" w14:paraId="1A7E1461" w14:textId="77777777" w:rsidTr="00CE1C85">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840A7" w14:paraId="0399BE12" w14:textId="77777777" w:rsidTr="0062699A">
              <w:tc>
                <w:tcPr>
                  <w:tcW w:w="1000" w:type="pct"/>
                  <w:shd w:val="clear" w:color="auto" w:fill="auto"/>
                  <w:hideMark/>
                </w:tcPr>
                <w:p w14:paraId="413F4659" w14:textId="5BCF15D3" w:rsidR="006840A7" w:rsidRPr="00A95339" w:rsidRDefault="0056307A" w:rsidP="006840A7">
                  <w:pPr>
                    <w:pStyle w:val="txtrec"/>
                    <w:jc w:val="center"/>
                  </w:pPr>
                  <w:r>
                    <w:rPr>
                      <w:noProof/>
                    </w:rPr>
                    <w:drawing>
                      <wp:inline distT="0" distB="0" distL="0" distR="0" wp14:anchorId="328537B0" wp14:editId="3BB63454">
                        <wp:extent cx="1209675" cy="120967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B039EDD" w14:textId="77777777" w:rsidR="0056307A" w:rsidRPr="0056307A" w:rsidRDefault="0056307A" w:rsidP="0056307A">
                  <w:pPr>
                    <w:pStyle w:val="txtrec"/>
                    <w:rPr>
                      <w:b/>
                      <w:bCs/>
                    </w:rPr>
                  </w:pPr>
                  <w:r w:rsidRPr="0056307A">
                    <w:rPr>
                      <w:b/>
                      <w:bCs/>
                    </w:rPr>
                    <w:t>Curiosidade!</w:t>
                  </w:r>
                </w:p>
                <w:p w14:paraId="337AA85D" w14:textId="4C9CEB81" w:rsidR="006840A7" w:rsidRPr="00B337A2" w:rsidRDefault="00E64370" w:rsidP="0056307A">
                  <w:pPr>
                    <w:pStyle w:val="txtrec"/>
                  </w:pPr>
                  <w:r w:rsidRPr="00E64370">
                    <w:t>De acordo com o panorama da Organização Mundial da Saúde (OMS, 2021e), até o dia 8 de janeiro de 2020, existiam 172 vacinas contra a Covid-19 em fase pré-clínica de pesquisa e 63 vacinas em fase de pesquisa clínica.</w:t>
                  </w:r>
                </w:p>
              </w:tc>
            </w:tr>
          </w:tbl>
          <w:p w14:paraId="5FDF7450" w14:textId="77777777" w:rsidR="006A57C3" w:rsidRDefault="006A57C3" w:rsidP="006A57C3">
            <w:pPr>
              <w:spacing w:before="280" w:after="280" w:line="360" w:lineRule="auto"/>
              <w:jc w:val="both"/>
              <w:rPr>
                <w:rFonts w:ascii="Arial" w:eastAsia="Arial" w:hAnsi="Arial" w:cs="Arial"/>
                <w:color w:val="000000"/>
                <w:sz w:val="24"/>
                <w:szCs w:val="24"/>
              </w:rPr>
            </w:pPr>
          </w:p>
        </w:tc>
      </w:tr>
      <w:tr w:rsidR="00B939EF" w:rsidRPr="00BE5D1D" w14:paraId="1A1690C3" w14:textId="77777777" w:rsidTr="00CE1C85">
        <w:trPr>
          <w:trHeight w:val="20"/>
        </w:trPr>
        <w:tc>
          <w:tcPr>
            <w:tcW w:w="11906" w:type="dxa"/>
            <w:shd w:val="clear" w:color="auto" w:fill="F1F9F1"/>
          </w:tcPr>
          <w:p w14:paraId="5016E9DD" w14:textId="5C49ABF1" w:rsidR="00B939EF" w:rsidRPr="00BE5D1D" w:rsidRDefault="0011066A" w:rsidP="008C368E">
            <w:pPr>
              <w:pStyle w:val="P11Ttulonumerado"/>
              <w:rPr>
                <w:rFonts w:eastAsia="Arial"/>
              </w:rPr>
            </w:pPr>
            <w:bookmarkStart w:id="4" w:name="_Toc65684871"/>
            <w:r w:rsidRPr="0011066A">
              <w:rPr>
                <w:rFonts w:eastAsia="Arial"/>
              </w:rPr>
              <w:lastRenderedPageBreak/>
              <w:t>Passo 10. Comunicação e engajamento comunitário</w:t>
            </w:r>
            <w:bookmarkEnd w:id="4"/>
          </w:p>
        </w:tc>
      </w:tr>
      <w:tr w:rsidR="00B939EF" w:rsidRPr="00BE5D1D" w14:paraId="7457A5F0" w14:textId="77777777" w:rsidTr="00CE1C85">
        <w:trPr>
          <w:trHeight w:val="20"/>
        </w:trPr>
        <w:tc>
          <w:tcPr>
            <w:tcW w:w="11906" w:type="dxa"/>
          </w:tcPr>
          <w:p w14:paraId="648F9BC4" w14:textId="4FE9DBB5" w:rsidR="00B939EF" w:rsidRPr="00BE5D1D" w:rsidRDefault="006C63D0" w:rsidP="00596033">
            <w:pPr>
              <w:pStyle w:val="Ppargrafo"/>
            </w:pPr>
            <w:r>
              <w:t xml:space="preserve">A comunicação, informação e o engajamento comunitário durante a campanha de vacinação são elementos que requerem estratégias. Estas estratégias devem incluir o desenvolvimento de conhecimento, a </w:t>
            </w:r>
            <w:r>
              <w:rPr>
                <w:b/>
              </w:rPr>
              <w:t>conscientização da população</w:t>
            </w:r>
            <w:r>
              <w:t xml:space="preserve"> e o aumento da confiança na vacinação (OPAS, 2020a). Estes elementos formam um eixo central, tendo em vista a orientação das práticas comunicacionais em conquistar e manter a confiança da comunidade, comunicar as incertezas e fomentar a </w:t>
            </w:r>
            <w:r>
              <w:rPr>
                <w:b/>
              </w:rPr>
              <w:t>adesão da população alvo à vacinação</w:t>
            </w:r>
            <w:r>
              <w:t xml:space="preserve"> (OMS, 2018). </w:t>
            </w:r>
          </w:p>
        </w:tc>
      </w:tr>
      <w:tr w:rsidR="00B939EF" w:rsidRPr="00BE5D1D" w14:paraId="64F286F5" w14:textId="77777777" w:rsidTr="00CE1C85">
        <w:trPr>
          <w:trHeight w:val="20"/>
        </w:trPr>
        <w:tc>
          <w:tcPr>
            <w:tcW w:w="11906" w:type="dxa"/>
          </w:tcPr>
          <w:p w14:paraId="6185CC11" w14:textId="0F322385" w:rsidR="00B939EF" w:rsidRPr="00596033" w:rsidRDefault="00596033" w:rsidP="00596033">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Assim, a comunicação de informações à comunidade deve ser priorizada e planejada. Esse planejamento, como em emergências de saúde pública, deve compreender uma avaliação do plano de </w:t>
            </w:r>
            <w:r>
              <w:rPr>
                <w:rFonts w:ascii="Arial" w:eastAsia="Arial" w:hAnsi="Arial" w:cs="Arial"/>
                <w:b/>
                <w:color w:val="000000"/>
                <w:sz w:val="24"/>
                <w:szCs w:val="24"/>
              </w:rPr>
              <w:t>comunicação do município</w:t>
            </w:r>
            <w:r>
              <w:rPr>
                <w:rFonts w:ascii="Arial" w:eastAsia="Arial" w:hAnsi="Arial" w:cs="Arial"/>
                <w:color w:val="000000"/>
                <w:sz w:val="24"/>
                <w:szCs w:val="24"/>
              </w:rPr>
              <w:t xml:space="preserve">, coordenação, transparência, capacitação dos envolvidos, entre outros elementos (OMS, 2018). </w:t>
            </w:r>
          </w:p>
        </w:tc>
      </w:tr>
      <w:tr w:rsidR="00B939EF" w:rsidRPr="00BE5D1D" w14:paraId="255CE2CD" w14:textId="77777777" w:rsidTr="00CE1C85">
        <w:trPr>
          <w:trHeight w:val="20"/>
        </w:trPr>
        <w:tc>
          <w:tcPr>
            <w:tcW w:w="11906" w:type="dxa"/>
          </w:tcPr>
          <w:p w14:paraId="47305C97" w14:textId="643AF9D4" w:rsidR="00B939EF" w:rsidRPr="00BE5D1D" w:rsidRDefault="00D808D4" w:rsidP="00D808D4">
            <w:pPr>
              <w:pStyle w:val="Ppargrafo"/>
            </w:pPr>
            <w:r>
              <w:t xml:space="preserve">Um importante ponto que a Organização Pan-Americana da Saúde (2020a) recomenda é a identificação e coordenação com parceiros estratégicos que possam contribuir para um diálogo confiante sobre a vacina contra a Covid-19 e a vacinação. Estes parceiros chaves no município devem ser identificados, principalmente aqueles capazes de persuadir grupos nos quais estão inseridos, modificando formas de pensar e atuar. Estes indivíduos são </w:t>
            </w:r>
            <w:r>
              <w:rPr>
                <w:b/>
              </w:rPr>
              <w:t>agentes-chave</w:t>
            </w:r>
            <w:r>
              <w:t xml:space="preserve"> para o engajamento comunitário, sejam eles professores, lideranças comunitárias, padres ou até influenciadores digitais. Cabe, portanto, durante o planejamento das ações de comunicação, identificar quais parceiros são estratégicos para a situação e como alcançá-los e instrumentalizá-los.</w:t>
            </w:r>
          </w:p>
        </w:tc>
      </w:tr>
      <w:tr w:rsidR="00B939EF" w:rsidRPr="00BE5D1D" w14:paraId="74979650" w14:textId="77777777" w:rsidTr="00CE1C85">
        <w:trPr>
          <w:trHeight w:val="20"/>
        </w:trPr>
        <w:tc>
          <w:tcPr>
            <w:tcW w:w="11906" w:type="dxa"/>
          </w:tcPr>
          <w:p w14:paraId="7775930F" w14:textId="370D8F73" w:rsidR="00B939EF" w:rsidRPr="00112A7D" w:rsidRDefault="00112A7D" w:rsidP="00112A7D">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Outros aspectos do planejamento incluem também a identificação de porta-vozes, o estabelecimento de uma </w:t>
            </w:r>
            <w:r>
              <w:rPr>
                <w:rFonts w:ascii="Arial" w:eastAsia="Arial" w:hAnsi="Arial" w:cs="Arial"/>
                <w:b/>
                <w:color w:val="000000"/>
                <w:sz w:val="24"/>
                <w:szCs w:val="24"/>
              </w:rPr>
              <w:t>cadeia de comando</w:t>
            </w:r>
            <w:r>
              <w:rPr>
                <w:rFonts w:ascii="Arial" w:eastAsia="Arial" w:hAnsi="Arial" w:cs="Arial"/>
                <w:color w:val="000000"/>
                <w:sz w:val="24"/>
                <w:szCs w:val="24"/>
              </w:rPr>
              <w:t>, articulação com a mídia local, uso de redes sociais para análise e gerenciamento de boatos, monitoramento de mídias internacionais, nacionais e locais, assim como, a escolha do tipo de mensagens que serão trabalhadas.</w:t>
            </w:r>
          </w:p>
        </w:tc>
      </w:tr>
      <w:tr w:rsidR="006D6A26" w:rsidRPr="00BE5D1D" w14:paraId="089564C8" w14:textId="77777777" w:rsidTr="00CE1C85">
        <w:trPr>
          <w:trHeight w:val="20"/>
        </w:trPr>
        <w:tc>
          <w:tcPr>
            <w:tcW w:w="11906" w:type="dxa"/>
          </w:tcPr>
          <w:p w14:paraId="766E829B" w14:textId="7DD272B0" w:rsidR="006D6A26" w:rsidRPr="00BE5D1D" w:rsidRDefault="006D38BD" w:rsidP="006D38BD">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A criação de uma campanha de comunicação específica para cada fase da campanha no município pode ser interessante para </w:t>
            </w:r>
            <w:r>
              <w:rPr>
                <w:rFonts w:ascii="Arial" w:eastAsia="Arial" w:hAnsi="Arial" w:cs="Arial"/>
                <w:b/>
                <w:color w:val="000000"/>
                <w:sz w:val="24"/>
                <w:szCs w:val="24"/>
              </w:rPr>
              <w:t>gerar confiança</w:t>
            </w:r>
            <w:r>
              <w:rPr>
                <w:rFonts w:ascii="Arial" w:eastAsia="Arial" w:hAnsi="Arial" w:cs="Arial"/>
                <w:color w:val="000000"/>
                <w:sz w:val="24"/>
                <w:szCs w:val="24"/>
              </w:rPr>
              <w:t xml:space="preserve"> e ajudar no alcance da meta de imunização para cada um dos grupos prioritários. Para isso devem ser preparados diferentes materiais para diferentes públicos dentro do município, esses materiais podem ser validados através de grupos focais ou outros mecanismos.</w:t>
            </w:r>
          </w:p>
        </w:tc>
      </w:tr>
      <w:tr w:rsidR="00B939EF" w:rsidRPr="00BE5D1D" w14:paraId="4C8854A1" w14:textId="77777777" w:rsidTr="00CE1C85">
        <w:trPr>
          <w:trHeight w:val="20"/>
        </w:trPr>
        <w:tc>
          <w:tcPr>
            <w:tcW w:w="11906" w:type="dxa"/>
          </w:tcPr>
          <w:p w14:paraId="07D68A67" w14:textId="6AAB3604" w:rsidR="00B939EF" w:rsidRPr="003F1EAE" w:rsidRDefault="003F1EAE" w:rsidP="003F1EAE">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Além disso, muitas vezes, pode ser necessária a articulação de diferentes níveis comunicacionais, que envolvem desde o uso da </w:t>
            </w:r>
            <w:r>
              <w:rPr>
                <w:rFonts w:ascii="Arial" w:eastAsia="Arial" w:hAnsi="Arial" w:cs="Arial"/>
                <w:b/>
                <w:color w:val="000000"/>
                <w:sz w:val="24"/>
                <w:szCs w:val="24"/>
              </w:rPr>
              <w:t>publicidade</w:t>
            </w:r>
            <w:r>
              <w:rPr>
                <w:rFonts w:ascii="Arial" w:eastAsia="Arial" w:hAnsi="Arial" w:cs="Arial"/>
                <w:color w:val="000000"/>
                <w:sz w:val="24"/>
                <w:szCs w:val="24"/>
              </w:rPr>
              <w:t xml:space="preserve"> televisiva de massa para a população em geral até iniciativas comunicacionais locais, feitas, por exemplo, para e pela comunidade, empregando uma linguagem acessível a partir da realidade de seus interlocutores, entre outros.</w:t>
            </w:r>
          </w:p>
        </w:tc>
      </w:tr>
      <w:tr w:rsidR="00B939EF" w:rsidRPr="00BE5D1D" w14:paraId="5D4D92B6" w14:textId="77777777" w:rsidTr="00CE1C85">
        <w:trPr>
          <w:trHeight w:val="20"/>
        </w:trPr>
        <w:tc>
          <w:tcPr>
            <w:tcW w:w="11906" w:type="dxa"/>
          </w:tcPr>
          <w:p w14:paraId="25237BB5" w14:textId="1827415B" w:rsidR="00B939EF" w:rsidRPr="00B00345" w:rsidRDefault="00B00345" w:rsidP="00B00345">
            <w:pPr>
              <w:spacing w:before="280" w:after="28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fim, lembre-se que o envolvimento da comunidade para o êxito das estratégias de comunicação e engajamento comunitário é um dos grandes desafios para o alcance da meta de imunização devido, sobretudo, à complexidade das </w:t>
            </w:r>
            <w:r>
              <w:rPr>
                <w:rFonts w:ascii="Arial" w:eastAsia="Arial" w:hAnsi="Arial" w:cs="Arial"/>
                <w:b/>
                <w:color w:val="000000"/>
                <w:sz w:val="24"/>
                <w:szCs w:val="24"/>
              </w:rPr>
              <w:t>dinâmicas sociais</w:t>
            </w:r>
            <w:r>
              <w:rPr>
                <w:rFonts w:ascii="Arial" w:eastAsia="Arial" w:hAnsi="Arial" w:cs="Arial"/>
                <w:color w:val="000000"/>
                <w:sz w:val="24"/>
                <w:szCs w:val="24"/>
              </w:rPr>
              <w:t xml:space="preserve"> que se intensificam em situações de crise. Outras dificuldades destacadas são a não-percepção do risco pelos grupos afetados, a dificuldade de manter esse envolvimento a longo prazo e a compreensão das especificidades de cada um dos grupos e das culturas locais. Por isso, faz-se necessário a revisão e o alinhamento contínuo de estratégias e atividades. </w:t>
            </w:r>
          </w:p>
        </w:tc>
      </w:tr>
      <w:tr w:rsidR="00B939EF" w:rsidRPr="00BE5D1D" w14:paraId="636EF36A" w14:textId="77777777" w:rsidTr="00CE1C85">
        <w:trPr>
          <w:trHeight w:val="20"/>
        </w:trPr>
        <w:tc>
          <w:tcPr>
            <w:tcW w:w="11906" w:type="dxa"/>
            <w:shd w:val="clear" w:color="auto" w:fill="F1F9F1"/>
          </w:tcPr>
          <w:p w14:paraId="37CD8B8A" w14:textId="77777777" w:rsidR="00B939EF" w:rsidRPr="00BE5D1D" w:rsidRDefault="00B939EF" w:rsidP="00023B19">
            <w:pPr>
              <w:pStyle w:val="P1Ttulonumerado"/>
              <w:rPr>
                <w:rFonts w:ascii="Times New Roman" w:eastAsia="Times New Roman" w:hAnsi="Times New Roman" w:cs="Times New Roman"/>
                <w:color w:val="000000"/>
                <w:sz w:val="24"/>
              </w:rPr>
            </w:pPr>
            <w:bookmarkStart w:id="5" w:name="_Toc65684872"/>
            <w:r w:rsidRPr="00BE5D1D">
              <w:rPr>
                <w:rFonts w:eastAsia="Arial"/>
              </w:rPr>
              <w:t>Conclusão</w:t>
            </w:r>
            <w:bookmarkEnd w:id="5"/>
          </w:p>
        </w:tc>
      </w:tr>
      <w:tr w:rsidR="00B939EF" w:rsidRPr="00BE5D1D" w14:paraId="0323E5EB" w14:textId="77777777" w:rsidTr="00CE1C85">
        <w:trPr>
          <w:trHeight w:val="20"/>
        </w:trPr>
        <w:tc>
          <w:tcPr>
            <w:tcW w:w="11906" w:type="dxa"/>
          </w:tcPr>
          <w:p w14:paraId="327D11E2" w14:textId="25D2F7BD" w:rsidR="00B939EF" w:rsidRPr="00143146" w:rsidRDefault="00143146" w:rsidP="00143146">
            <w:pPr>
              <w:pStyle w:val="Ppargrafo"/>
              <w:rPr>
                <w:rFonts w:ascii="Times New Roman" w:eastAsia="Times New Roman" w:hAnsi="Times New Roman" w:cs="Times New Roman"/>
                <w:color w:val="000000"/>
              </w:rPr>
            </w:pPr>
            <w:r>
              <w:t>Na aula de hoje vimos  que não basta vacinar, mas precisamos pensar nos pós vacinação. Para onde vai o lixo? Como realizar o descarte correto? Além disso, pensar que estamos trabalhando com vacinas novas e efeitos adversos pós-vacinação podem ocorrer. Para isso precisamos monitorar esses dados e, assim como abordado na aula passada, o sistema de informação é imprescindível. Além disso, combater as fake news e envolver a comunidade é papel importante na efetividade da vacina.</w:t>
            </w:r>
          </w:p>
        </w:tc>
      </w:tr>
      <w:tr w:rsidR="00143146" w:rsidRPr="00BE5D1D" w14:paraId="0BAE8F4D" w14:textId="77777777" w:rsidTr="00CE1C85">
        <w:trPr>
          <w:trHeight w:val="20"/>
        </w:trPr>
        <w:tc>
          <w:tcPr>
            <w:tcW w:w="11906" w:type="dxa"/>
          </w:tcPr>
          <w:p w14:paraId="4D9C9936" w14:textId="38BA6828" w:rsidR="00143146" w:rsidRPr="00972E1D" w:rsidRDefault="00972E1D" w:rsidP="00972E1D">
            <w:pPr>
              <w:spacing w:line="360" w:lineRule="auto"/>
              <w:jc w:val="both"/>
              <w:rPr>
                <w:rFonts w:ascii="Arial" w:eastAsia="Arial" w:hAnsi="Arial" w:cs="Arial"/>
                <w:sz w:val="24"/>
                <w:szCs w:val="24"/>
              </w:rPr>
            </w:pPr>
            <w:r>
              <w:rPr>
                <w:rFonts w:ascii="Arial" w:eastAsia="Arial" w:hAnsi="Arial" w:cs="Arial"/>
                <w:sz w:val="24"/>
                <w:szCs w:val="24"/>
              </w:rPr>
              <w:lastRenderedPageBreak/>
              <w:t>Vimos mais alguns passos em nosso planejamento: descarte e manejo de resíduos, gestão de eventos adversos pós-vacinação e engajamento comunitário. Aqui chegamos ao final dos passos que serão utilizados para o Planejamento da Campanha de vacinação. Na próxima aula veremos um pouco sobre a especificidade dos países. Vem com a gente!</w:t>
            </w:r>
          </w:p>
        </w:tc>
      </w:tr>
    </w:tbl>
    <w:p w14:paraId="2CF460EB" w14:textId="29A1D379" w:rsidR="006140AF" w:rsidRDefault="006140AF">
      <w:pPr>
        <w:rPr>
          <w:rFonts w:ascii="Arial" w:hAnsi="Arial" w:cs="Arial"/>
          <w:sz w:val="24"/>
          <w:szCs w:val="24"/>
        </w:rPr>
      </w:pPr>
    </w:p>
    <w:p w14:paraId="403A8D38" w14:textId="77777777" w:rsidR="006140AF" w:rsidRDefault="006140AF">
      <w:pPr>
        <w:rPr>
          <w:rFonts w:ascii="Arial" w:hAnsi="Arial" w:cs="Arial"/>
          <w:sz w:val="24"/>
          <w:szCs w:val="24"/>
        </w:rPr>
      </w:pPr>
      <w:r>
        <w:rPr>
          <w:rFonts w:ascii="Arial" w:hAnsi="Arial" w:cs="Arial"/>
          <w:sz w:val="24"/>
          <w:szCs w:val="24"/>
        </w:rPr>
        <w:br w:type="page"/>
      </w: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6140AF" w:rsidRPr="000274E8" w14:paraId="710BDA88" w14:textId="77777777" w:rsidTr="00CE1C85">
        <w:trPr>
          <w:jc w:val="center"/>
        </w:trPr>
        <w:tc>
          <w:tcPr>
            <w:tcW w:w="11906" w:type="dxa"/>
            <w:shd w:val="clear" w:color="auto" w:fill="F1F9F1"/>
          </w:tcPr>
          <w:p w14:paraId="21486307" w14:textId="77777777" w:rsidR="006140AF" w:rsidRPr="000274E8" w:rsidRDefault="006140AF" w:rsidP="007E50E8">
            <w:pPr>
              <w:pStyle w:val="P1Ttulonumerado"/>
              <w:rPr>
                <w:rFonts w:ascii="Times New Roman" w:eastAsia="Times New Roman" w:hAnsi="Times New Roman"/>
                <w:sz w:val="24"/>
              </w:rPr>
            </w:pPr>
            <w:bookmarkStart w:id="6" w:name="_Toc77590962"/>
            <w:r w:rsidRPr="000274E8">
              <w:rPr>
                <w:rFonts w:eastAsia="Arial"/>
              </w:rPr>
              <w:lastRenderedPageBreak/>
              <w:t>Referências</w:t>
            </w:r>
            <w:bookmarkEnd w:id="6"/>
          </w:p>
        </w:tc>
      </w:tr>
      <w:tr w:rsidR="006140AF" w:rsidRPr="000274E8" w14:paraId="124100FA" w14:textId="77777777" w:rsidTr="007E50E8">
        <w:trPr>
          <w:jc w:val="center"/>
        </w:trPr>
        <w:tc>
          <w:tcPr>
            <w:tcW w:w="11906" w:type="dxa"/>
          </w:tcPr>
          <w:p w14:paraId="6ECB8F2F" w14:textId="77777777" w:rsidR="006140AF" w:rsidRPr="000274E8" w:rsidRDefault="006140AF" w:rsidP="007E50E8">
            <w:pPr>
              <w:pStyle w:val="Ppargrafo"/>
              <w:rPr>
                <w:rFonts w:ascii="Times New Roman" w:eastAsia="Times New Roman" w:hAnsi="Times New Roman"/>
              </w:rPr>
            </w:pPr>
            <w:r w:rsidRPr="00B36A1B">
              <w:rPr>
                <w:lang w:val="en-US"/>
              </w:rPr>
              <w:t xml:space="preserve">World Health Organization. </w:t>
            </w:r>
            <w:r w:rsidRPr="00B36A1B">
              <w:rPr>
                <w:b/>
                <w:bCs/>
                <w:lang w:val="en-US"/>
              </w:rPr>
              <w:t>“Vaccines and imunization: Vaccine safety”.</w:t>
            </w:r>
            <w:r w:rsidRPr="00B36A1B">
              <w:rPr>
                <w:lang w:val="en-US"/>
              </w:rPr>
              <w:t xml:space="preserve">2020c. Disponível em: https://www.who.int/news-room/q-a-detail/vaccines-and-mmunization-vaccine-safety. </w:t>
            </w:r>
            <w:r w:rsidRPr="000274E8">
              <w:t>Acessado em: 13/01/2021.</w:t>
            </w:r>
          </w:p>
        </w:tc>
      </w:tr>
      <w:tr w:rsidR="006140AF" w:rsidRPr="000274E8" w14:paraId="4279618E" w14:textId="77777777" w:rsidTr="007E50E8">
        <w:trPr>
          <w:jc w:val="center"/>
        </w:trPr>
        <w:tc>
          <w:tcPr>
            <w:tcW w:w="11906" w:type="dxa"/>
          </w:tcPr>
          <w:p w14:paraId="62CF36E2" w14:textId="77777777" w:rsidR="006140AF" w:rsidRPr="000274E8" w:rsidRDefault="006140AF" w:rsidP="007E50E8">
            <w:pPr>
              <w:pStyle w:val="Ppargrafo"/>
            </w:pPr>
            <w:r w:rsidRPr="00B36A1B">
              <w:rPr>
                <w:lang w:val="en-US"/>
              </w:rPr>
              <w:t xml:space="preserve">ABBAS AK, LICHTMAN AH, PILLAI SHIV. </w:t>
            </w:r>
            <w:r w:rsidRPr="000274E8">
              <w:rPr>
                <w:b/>
                <w:bCs/>
              </w:rPr>
              <w:t>Imunologia celular e molecular</w:t>
            </w:r>
            <w:r w:rsidRPr="000274E8">
              <w:t>. 9. ed. Rio de Janeiro: Elsevier, 2019.</w:t>
            </w:r>
          </w:p>
        </w:tc>
      </w:tr>
      <w:tr w:rsidR="006140AF" w:rsidRPr="000274E8" w14:paraId="33FD1126" w14:textId="77777777" w:rsidTr="007E50E8">
        <w:trPr>
          <w:jc w:val="center"/>
        </w:trPr>
        <w:tc>
          <w:tcPr>
            <w:tcW w:w="11906" w:type="dxa"/>
          </w:tcPr>
          <w:p w14:paraId="45A05C2D" w14:textId="77777777" w:rsidR="006140AF" w:rsidRPr="000274E8" w:rsidRDefault="006140AF" w:rsidP="007E50E8">
            <w:pPr>
              <w:pStyle w:val="Ppargrafo"/>
              <w:rPr>
                <w:rFonts w:ascii="Times New Roman" w:eastAsia="Times New Roman" w:hAnsi="Times New Roman" w:cs="Times New Roman"/>
              </w:rPr>
            </w:pPr>
            <w:r w:rsidRPr="000274E8">
              <w:t xml:space="preserve">BRASIL. Lei nº 8.080, de 19 de setembro de 1990. </w:t>
            </w:r>
            <w:r w:rsidRPr="009E0004">
              <w:rPr>
                <w:b/>
                <w:bCs/>
              </w:rPr>
              <w:t>Lei Orgânica da Saúde</w:t>
            </w:r>
            <w:r w:rsidRPr="000274E8">
              <w:t>. Dispõe sobre as condições para a promoção, proteção e recuperação da saúde, a organização e o funcionamento dos serviços correspondentes e dá outras providências. Brasília, set. 1990. </w:t>
            </w:r>
          </w:p>
        </w:tc>
      </w:tr>
      <w:tr w:rsidR="006140AF" w:rsidRPr="000274E8" w14:paraId="08F9D5A6" w14:textId="77777777" w:rsidTr="007E50E8">
        <w:trPr>
          <w:jc w:val="center"/>
        </w:trPr>
        <w:tc>
          <w:tcPr>
            <w:tcW w:w="11906" w:type="dxa"/>
          </w:tcPr>
          <w:p w14:paraId="0E87C0BD" w14:textId="77777777" w:rsidR="006140AF" w:rsidRPr="000274E8" w:rsidRDefault="006140AF" w:rsidP="007E50E8">
            <w:pPr>
              <w:pStyle w:val="Ppargrafo"/>
              <w:rPr>
                <w:rFonts w:ascii="Times New Roman" w:eastAsia="Times New Roman" w:hAnsi="Times New Roman"/>
              </w:rPr>
            </w:pPr>
            <w:r w:rsidRPr="000274E8">
              <w:t xml:space="preserve">BRASIL. Ministério da Saúde. Secretaria de Vigilância em Saúde. Departamento de Vigilância das Doenças Transmissíveis. </w:t>
            </w:r>
            <w:r w:rsidRPr="009E0004">
              <w:rPr>
                <w:b/>
                <w:bCs/>
              </w:rPr>
              <w:t>Plano Nacional de Operacionalização da Vacinação contra a Covid-19</w:t>
            </w:r>
            <w:r w:rsidRPr="000274E8">
              <w:t>, 1. ed. Brasília, 2020a.</w:t>
            </w:r>
          </w:p>
        </w:tc>
      </w:tr>
      <w:tr w:rsidR="006140AF" w:rsidRPr="000274E8" w14:paraId="774594B8" w14:textId="77777777" w:rsidTr="007E50E8">
        <w:trPr>
          <w:jc w:val="center"/>
        </w:trPr>
        <w:tc>
          <w:tcPr>
            <w:tcW w:w="11906" w:type="dxa"/>
          </w:tcPr>
          <w:p w14:paraId="7386039D" w14:textId="77777777" w:rsidR="006140AF" w:rsidRPr="000274E8" w:rsidRDefault="006140AF" w:rsidP="007E50E8">
            <w:pPr>
              <w:pStyle w:val="Ppargrafo"/>
              <w:rPr>
                <w:rFonts w:ascii="Times New Roman" w:eastAsia="Times New Roman" w:hAnsi="Times New Roman"/>
              </w:rPr>
            </w:pPr>
            <w:r w:rsidRPr="000274E8">
              <w:t>OMS. Organização Mundial da Saúde. 2020a. Disponível em: &lt;https://www.who.int/emergencies/diseases/novel-coronavirus-2019/question-and-answers-hub/q-a-detail/coronavirus-disease-covid-19&gt;. Acesso em:  05 janeiro 2020.</w:t>
            </w:r>
          </w:p>
        </w:tc>
      </w:tr>
      <w:tr w:rsidR="006140AF" w:rsidRPr="000274E8" w14:paraId="6CE54BBA" w14:textId="77777777" w:rsidTr="007E50E8">
        <w:trPr>
          <w:jc w:val="center"/>
        </w:trPr>
        <w:tc>
          <w:tcPr>
            <w:tcW w:w="11906" w:type="dxa"/>
          </w:tcPr>
          <w:p w14:paraId="43674C42" w14:textId="77777777" w:rsidR="006140AF" w:rsidRPr="000274E8" w:rsidRDefault="006140AF" w:rsidP="007E50E8">
            <w:pPr>
              <w:pStyle w:val="Ppargrafo"/>
              <w:rPr>
                <w:rFonts w:ascii="Times New Roman" w:eastAsia="Times New Roman" w:hAnsi="Times New Roman"/>
              </w:rPr>
            </w:pPr>
            <w:r w:rsidRPr="000274E8">
              <w:t>OMS. Organização Mundial da Saúde. 2020b. Disponível em: &lt;https://www.who.int/news-room/q-a-detail/herd-immunity-lockdowns-and-covid-19&gt;. Acesso em: 05 janeiro 2020.</w:t>
            </w:r>
          </w:p>
        </w:tc>
      </w:tr>
      <w:tr w:rsidR="006140AF" w:rsidRPr="000274E8" w14:paraId="45709BAD" w14:textId="77777777" w:rsidTr="007E50E8">
        <w:trPr>
          <w:jc w:val="center"/>
        </w:trPr>
        <w:tc>
          <w:tcPr>
            <w:tcW w:w="11906" w:type="dxa"/>
          </w:tcPr>
          <w:p w14:paraId="339710E9" w14:textId="77777777" w:rsidR="006140AF" w:rsidRPr="000274E8" w:rsidRDefault="006140AF" w:rsidP="007E50E8">
            <w:pPr>
              <w:pStyle w:val="Ppargrafo"/>
              <w:rPr>
                <w:rFonts w:ascii="Times New Roman" w:eastAsia="Times New Roman" w:hAnsi="Times New Roman"/>
              </w:rPr>
            </w:pPr>
            <w:r w:rsidRPr="000274E8">
              <w:t xml:space="preserve">OMS. Organização Mundial da Saúde. </w:t>
            </w:r>
            <w:r w:rsidRPr="00B36A1B">
              <w:rPr>
                <w:lang w:val="en-US"/>
              </w:rPr>
              <w:t xml:space="preserve">2020d. </w:t>
            </w:r>
            <w:r w:rsidRPr="00B36A1B">
              <w:rPr>
                <w:b/>
                <w:bCs/>
                <w:lang w:val="en-US"/>
              </w:rPr>
              <w:t>Draft landscape of COVID-19 candidate vaccines</w:t>
            </w:r>
            <w:r w:rsidRPr="00B36A1B">
              <w:rPr>
                <w:lang w:val="en-US"/>
              </w:rPr>
              <w:t xml:space="preserve">. </w:t>
            </w:r>
            <w:r w:rsidRPr="000274E8">
              <w:t>Disponível em: &lt;https://www.who.int/publications/m/item/draft-landscape-of-covid-19-candidate-vaccines&gt;. Acesso em: 09 janeiro 2020.</w:t>
            </w:r>
          </w:p>
        </w:tc>
      </w:tr>
    </w:tbl>
    <w:p w14:paraId="67224AF0" w14:textId="77777777" w:rsidR="00867D3D" w:rsidRDefault="00867D3D">
      <w:pPr>
        <w:rPr>
          <w:rFonts w:ascii="Arial" w:hAnsi="Arial" w:cs="Arial"/>
          <w:sz w:val="24"/>
          <w:szCs w:val="24"/>
        </w:rPr>
      </w:pPr>
    </w:p>
    <w:sectPr w:rsidR="00867D3D" w:rsidSect="0087209D">
      <w:headerReference w:type="default" r:id="rId16"/>
      <w:footerReference w:type="default" r:id="rId17"/>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27E3A" w14:textId="77777777" w:rsidR="004B2B96" w:rsidRDefault="004B2B96" w:rsidP="00BA4765">
      <w:r>
        <w:separator/>
      </w:r>
    </w:p>
  </w:endnote>
  <w:endnote w:type="continuationSeparator" w:id="0">
    <w:p w14:paraId="397F9236" w14:textId="77777777" w:rsidR="004B2B96" w:rsidRDefault="004B2B96" w:rsidP="00BA4765">
      <w:r>
        <w:continuationSeparator/>
      </w:r>
    </w:p>
  </w:endnote>
  <w:endnote w:type="continuationNotice" w:id="1">
    <w:p w14:paraId="4C5D0CBD" w14:textId="77777777" w:rsidR="004B2B96" w:rsidRDefault="004B2B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58243"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58241"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58242"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8240"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E906D" w14:textId="77777777" w:rsidR="004B2B96" w:rsidRDefault="004B2B96" w:rsidP="00BA4765">
      <w:r>
        <w:separator/>
      </w:r>
    </w:p>
  </w:footnote>
  <w:footnote w:type="continuationSeparator" w:id="0">
    <w:p w14:paraId="4E8F1CB6" w14:textId="77777777" w:rsidR="004B2B96" w:rsidRDefault="004B2B96" w:rsidP="00BA4765">
      <w:r>
        <w:continuationSeparator/>
      </w:r>
    </w:p>
  </w:footnote>
  <w:footnote w:type="continuationNotice" w:id="1">
    <w:p w14:paraId="29FFC9CE" w14:textId="77777777" w:rsidR="004B2B96" w:rsidRDefault="004B2B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3817CBFB" w:rsidR="00FF5411" w:rsidRDefault="00586AD5" w:rsidP="00BA4765">
    <w:pPr>
      <w:pStyle w:val="Cabealho"/>
    </w:pPr>
    <w:r>
      <w:rPr>
        <w:noProof/>
      </w:rPr>
      <w:drawing>
        <wp:anchor distT="0" distB="0" distL="114300" distR="114300" simplePos="0" relativeHeight="251658244" behindDoc="1" locked="0" layoutInCell="1" allowOverlap="1" wp14:anchorId="4BC54AE5" wp14:editId="0AAE74F3">
          <wp:simplePos x="0" y="0"/>
          <wp:positionH relativeFrom="margin">
            <wp:posOffset>-1070610</wp:posOffset>
          </wp:positionH>
          <wp:positionV relativeFrom="margin">
            <wp:posOffset>-871220</wp:posOffset>
          </wp:positionV>
          <wp:extent cx="7524115" cy="10638155"/>
          <wp:effectExtent l="0" t="0" r="635" b="0"/>
          <wp:wrapNone/>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58245" behindDoc="1" locked="0" layoutInCell="1" allowOverlap="1" wp14:anchorId="796D08E1" wp14:editId="03F9368D">
          <wp:simplePos x="0" y="0"/>
          <wp:positionH relativeFrom="column">
            <wp:posOffset>9633585</wp:posOffset>
          </wp:positionH>
          <wp:positionV relativeFrom="paragraph">
            <wp:posOffset>-531495</wp:posOffset>
          </wp:positionV>
          <wp:extent cx="7600950" cy="10746740"/>
          <wp:effectExtent l="0" t="0" r="0" b="0"/>
          <wp:wrapNone/>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658247" behindDoc="1" locked="0" layoutInCell="1" allowOverlap="1" wp14:anchorId="5D5EAC44" wp14:editId="46203FF4">
          <wp:simplePos x="0" y="0"/>
          <wp:positionH relativeFrom="column">
            <wp:posOffset>-1066487</wp:posOffset>
          </wp:positionH>
          <wp:positionV relativeFrom="paragraph">
            <wp:posOffset>-450215</wp:posOffset>
          </wp:positionV>
          <wp:extent cx="7546045" cy="1068578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045" cy="106857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880D6FC"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58246" behindDoc="1" locked="0" layoutInCell="1" allowOverlap="1" wp14:anchorId="60710326" wp14:editId="3CD19F46">
          <wp:simplePos x="0" y="0"/>
          <wp:positionH relativeFrom="margin">
            <wp:posOffset>-20320</wp:posOffset>
          </wp:positionH>
          <wp:positionV relativeFrom="margin">
            <wp:posOffset>-1146791</wp:posOffset>
          </wp:positionV>
          <wp:extent cx="7600950" cy="1076325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13E24C5"/>
    <w:multiLevelType w:val="multilevel"/>
    <w:tmpl w:val="C72A4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7"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8"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9BD6390"/>
    <w:multiLevelType w:val="multilevel"/>
    <w:tmpl w:val="9F32D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BDF75B5"/>
    <w:multiLevelType w:val="multilevel"/>
    <w:tmpl w:val="DF182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6"/>
  </w:num>
  <w:num w:numId="2">
    <w:abstractNumId w:val="29"/>
  </w:num>
  <w:num w:numId="3">
    <w:abstractNumId w:val="17"/>
  </w:num>
  <w:num w:numId="4">
    <w:abstractNumId w:val="12"/>
  </w:num>
  <w:num w:numId="5">
    <w:abstractNumId w:val="1"/>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0"/>
  </w:num>
  <w:num w:numId="8">
    <w:abstractNumId w:val="30"/>
  </w:num>
  <w:num w:numId="9">
    <w:abstractNumId w:val="9"/>
  </w:num>
  <w:num w:numId="10">
    <w:abstractNumId w:val="15"/>
  </w:num>
  <w:num w:numId="11">
    <w:abstractNumId w:val="38"/>
  </w:num>
  <w:num w:numId="12">
    <w:abstractNumId w:val="2"/>
  </w:num>
  <w:num w:numId="13">
    <w:abstractNumId w:val="3"/>
  </w:num>
  <w:num w:numId="14">
    <w:abstractNumId w:val="28"/>
  </w:num>
  <w:num w:numId="15">
    <w:abstractNumId w:val="23"/>
  </w:num>
  <w:num w:numId="16">
    <w:abstractNumId w:val="10"/>
  </w:num>
  <w:num w:numId="17">
    <w:abstractNumId w:val="7"/>
  </w:num>
  <w:num w:numId="18">
    <w:abstractNumId w:val="39"/>
  </w:num>
  <w:num w:numId="19">
    <w:abstractNumId w:val="19"/>
  </w:num>
  <w:num w:numId="20">
    <w:abstractNumId w:val="27"/>
  </w:num>
  <w:num w:numId="21">
    <w:abstractNumId w:val="8"/>
  </w:num>
  <w:num w:numId="22">
    <w:abstractNumId w:val="22"/>
  </w:num>
  <w:num w:numId="23">
    <w:abstractNumId w:val="20"/>
  </w:num>
  <w:num w:numId="24">
    <w:abstractNumId w:val="35"/>
  </w:num>
  <w:num w:numId="25">
    <w:abstractNumId w:val="5"/>
  </w:num>
  <w:num w:numId="26">
    <w:abstractNumId w:val="13"/>
  </w:num>
  <w:num w:numId="27">
    <w:abstractNumId w:val="21"/>
  </w:num>
  <w:num w:numId="28">
    <w:abstractNumId w:val="33"/>
  </w:num>
  <w:num w:numId="29">
    <w:abstractNumId w:val="18"/>
  </w:num>
  <w:num w:numId="30">
    <w:abstractNumId w:val="26"/>
  </w:num>
  <w:num w:numId="31">
    <w:abstractNumId w:val="0"/>
  </w:num>
  <w:num w:numId="32">
    <w:abstractNumId w:val="34"/>
  </w:num>
  <w:num w:numId="33">
    <w:abstractNumId w:val="24"/>
  </w:num>
  <w:num w:numId="34">
    <w:abstractNumId w:val="14"/>
  </w:num>
  <w:num w:numId="35">
    <w:abstractNumId w:val="11"/>
  </w:num>
  <w:num w:numId="36">
    <w:abstractNumId w:val="31"/>
  </w:num>
  <w:num w:numId="37">
    <w:abstractNumId w:val="25"/>
  </w:num>
  <w:num w:numId="38">
    <w:abstractNumId w:val="6"/>
  </w:num>
  <w:num w:numId="39">
    <w:abstractNumId w:val="36"/>
  </w:num>
  <w:num w:numId="40">
    <w:abstractNumId w:val="4"/>
  </w:num>
  <w:num w:numId="41">
    <w:abstractNumId w:val="41"/>
  </w:num>
  <w:num w:numId="42">
    <w:abstractNumId w:val="32"/>
  </w:num>
  <w:num w:numId="43">
    <w:abstractNumId w:val="12"/>
  </w:num>
  <w:num w:numId="44">
    <w:abstractNumId w:val="29"/>
  </w:num>
  <w:num w:numId="45">
    <w:abstractNumId w:val="16"/>
  </w:num>
  <w:num w:numId="46">
    <w:abstractNumId w:val="12"/>
  </w:num>
  <w:num w:numId="47">
    <w:abstractNumId w:val="29"/>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4225D"/>
    <w:rsid w:val="00051C74"/>
    <w:rsid w:val="00066D1A"/>
    <w:rsid w:val="00080D3A"/>
    <w:rsid w:val="000A43AD"/>
    <w:rsid w:val="000B103D"/>
    <w:rsid w:val="000B5BF2"/>
    <w:rsid w:val="000E7E06"/>
    <w:rsid w:val="000F5179"/>
    <w:rsid w:val="0010673D"/>
    <w:rsid w:val="0011066A"/>
    <w:rsid w:val="00112A7D"/>
    <w:rsid w:val="001163EB"/>
    <w:rsid w:val="001164E2"/>
    <w:rsid w:val="00122821"/>
    <w:rsid w:val="001336A8"/>
    <w:rsid w:val="00143146"/>
    <w:rsid w:val="00151B1F"/>
    <w:rsid w:val="00155407"/>
    <w:rsid w:val="00161DC3"/>
    <w:rsid w:val="00162A51"/>
    <w:rsid w:val="001673EA"/>
    <w:rsid w:val="001904DF"/>
    <w:rsid w:val="0019157B"/>
    <w:rsid w:val="00195639"/>
    <w:rsid w:val="001A4B32"/>
    <w:rsid w:val="001B3D11"/>
    <w:rsid w:val="001C60BE"/>
    <w:rsid w:val="001D1B67"/>
    <w:rsid w:val="001D2532"/>
    <w:rsid w:val="001E253D"/>
    <w:rsid w:val="001F03C4"/>
    <w:rsid w:val="00237FDA"/>
    <w:rsid w:val="0024339E"/>
    <w:rsid w:val="00247CE4"/>
    <w:rsid w:val="00260E30"/>
    <w:rsid w:val="00261DEB"/>
    <w:rsid w:val="00290BFA"/>
    <w:rsid w:val="00290E04"/>
    <w:rsid w:val="002A4B25"/>
    <w:rsid w:val="002A77E8"/>
    <w:rsid w:val="002C21AF"/>
    <w:rsid w:val="002D0631"/>
    <w:rsid w:val="002F4CC8"/>
    <w:rsid w:val="00300D0C"/>
    <w:rsid w:val="00305017"/>
    <w:rsid w:val="003050FB"/>
    <w:rsid w:val="00311BD8"/>
    <w:rsid w:val="00327BC4"/>
    <w:rsid w:val="00331C27"/>
    <w:rsid w:val="003338D0"/>
    <w:rsid w:val="0034253C"/>
    <w:rsid w:val="00342F66"/>
    <w:rsid w:val="00375B6C"/>
    <w:rsid w:val="00376480"/>
    <w:rsid w:val="003A1367"/>
    <w:rsid w:val="003A3478"/>
    <w:rsid w:val="003E1611"/>
    <w:rsid w:val="003E768C"/>
    <w:rsid w:val="003F1EAE"/>
    <w:rsid w:val="003F5943"/>
    <w:rsid w:val="004104DF"/>
    <w:rsid w:val="004379F6"/>
    <w:rsid w:val="00437ACC"/>
    <w:rsid w:val="00441247"/>
    <w:rsid w:val="004478F9"/>
    <w:rsid w:val="00470B37"/>
    <w:rsid w:val="00471519"/>
    <w:rsid w:val="00477F36"/>
    <w:rsid w:val="00492B74"/>
    <w:rsid w:val="004A66F8"/>
    <w:rsid w:val="004B1C50"/>
    <w:rsid w:val="004B2B96"/>
    <w:rsid w:val="004C34AF"/>
    <w:rsid w:val="004D0330"/>
    <w:rsid w:val="004D6EE1"/>
    <w:rsid w:val="004F496C"/>
    <w:rsid w:val="00514887"/>
    <w:rsid w:val="00514BEA"/>
    <w:rsid w:val="00520F5A"/>
    <w:rsid w:val="005353D3"/>
    <w:rsid w:val="00542434"/>
    <w:rsid w:val="00543966"/>
    <w:rsid w:val="005553BE"/>
    <w:rsid w:val="0056307A"/>
    <w:rsid w:val="00586AD5"/>
    <w:rsid w:val="00596033"/>
    <w:rsid w:val="005A4FB9"/>
    <w:rsid w:val="005B66D3"/>
    <w:rsid w:val="005D70C4"/>
    <w:rsid w:val="006140AF"/>
    <w:rsid w:val="00614F57"/>
    <w:rsid w:val="006207C4"/>
    <w:rsid w:val="006237B0"/>
    <w:rsid w:val="00673531"/>
    <w:rsid w:val="006840A7"/>
    <w:rsid w:val="00694601"/>
    <w:rsid w:val="00695A45"/>
    <w:rsid w:val="006A57C3"/>
    <w:rsid w:val="006C63D0"/>
    <w:rsid w:val="006D37D0"/>
    <w:rsid w:val="006D38BD"/>
    <w:rsid w:val="006D5262"/>
    <w:rsid w:val="006D6A26"/>
    <w:rsid w:val="006E47C6"/>
    <w:rsid w:val="00712A26"/>
    <w:rsid w:val="00716D9D"/>
    <w:rsid w:val="00723D90"/>
    <w:rsid w:val="00755226"/>
    <w:rsid w:val="007579F1"/>
    <w:rsid w:val="00760D2E"/>
    <w:rsid w:val="0077750A"/>
    <w:rsid w:val="00777D76"/>
    <w:rsid w:val="007833A3"/>
    <w:rsid w:val="0078612B"/>
    <w:rsid w:val="00792FBB"/>
    <w:rsid w:val="007A7708"/>
    <w:rsid w:val="007B0927"/>
    <w:rsid w:val="007C290F"/>
    <w:rsid w:val="007E32AF"/>
    <w:rsid w:val="007E7B22"/>
    <w:rsid w:val="007F295E"/>
    <w:rsid w:val="00805F36"/>
    <w:rsid w:val="00816D79"/>
    <w:rsid w:val="00827E42"/>
    <w:rsid w:val="008401EF"/>
    <w:rsid w:val="00843004"/>
    <w:rsid w:val="00852987"/>
    <w:rsid w:val="00854DE8"/>
    <w:rsid w:val="008552BF"/>
    <w:rsid w:val="00856B1B"/>
    <w:rsid w:val="008611FE"/>
    <w:rsid w:val="00866669"/>
    <w:rsid w:val="00866E54"/>
    <w:rsid w:val="00867D3D"/>
    <w:rsid w:val="0087209D"/>
    <w:rsid w:val="00873DEC"/>
    <w:rsid w:val="00884A5C"/>
    <w:rsid w:val="008B1447"/>
    <w:rsid w:val="008B2198"/>
    <w:rsid w:val="008B6D58"/>
    <w:rsid w:val="008C368E"/>
    <w:rsid w:val="008C66DE"/>
    <w:rsid w:val="008C6D2D"/>
    <w:rsid w:val="008C71C5"/>
    <w:rsid w:val="008D3BA2"/>
    <w:rsid w:val="008E3C3A"/>
    <w:rsid w:val="008E7C69"/>
    <w:rsid w:val="00904356"/>
    <w:rsid w:val="0092236A"/>
    <w:rsid w:val="00932C99"/>
    <w:rsid w:val="00940CDF"/>
    <w:rsid w:val="00952C54"/>
    <w:rsid w:val="00954660"/>
    <w:rsid w:val="0096721F"/>
    <w:rsid w:val="00972E1D"/>
    <w:rsid w:val="009858EC"/>
    <w:rsid w:val="00987B70"/>
    <w:rsid w:val="00996E35"/>
    <w:rsid w:val="009A4A56"/>
    <w:rsid w:val="009A6C7A"/>
    <w:rsid w:val="009B230F"/>
    <w:rsid w:val="009E24F4"/>
    <w:rsid w:val="00A01FEE"/>
    <w:rsid w:val="00A075A5"/>
    <w:rsid w:val="00A1572E"/>
    <w:rsid w:val="00A32257"/>
    <w:rsid w:val="00A41CAB"/>
    <w:rsid w:val="00A42061"/>
    <w:rsid w:val="00A71EAD"/>
    <w:rsid w:val="00A72D4E"/>
    <w:rsid w:val="00A81799"/>
    <w:rsid w:val="00A95339"/>
    <w:rsid w:val="00AE315D"/>
    <w:rsid w:val="00AF51F2"/>
    <w:rsid w:val="00B00345"/>
    <w:rsid w:val="00B0412C"/>
    <w:rsid w:val="00B15DE5"/>
    <w:rsid w:val="00B17D30"/>
    <w:rsid w:val="00B337A2"/>
    <w:rsid w:val="00B53B48"/>
    <w:rsid w:val="00B60214"/>
    <w:rsid w:val="00B65A62"/>
    <w:rsid w:val="00B77E3A"/>
    <w:rsid w:val="00B939EF"/>
    <w:rsid w:val="00BA4765"/>
    <w:rsid w:val="00BB482C"/>
    <w:rsid w:val="00BC58AD"/>
    <w:rsid w:val="00BD0CCB"/>
    <w:rsid w:val="00BD2261"/>
    <w:rsid w:val="00BD4887"/>
    <w:rsid w:val="00C01041"/>
    <w:rsid w:val="00C02D72"/>
    <w:rsid w:val="00C17AB6"/>
    <w:rsid w:val="00C246B1"/>
    <w:rsid w:val="00C24E79"/>
    <w:rsid w:val="00C269A4"/>
    <w:rsid w:val="00C54BE7"/>
    <w:rsid w:val="00C66A7E"/>
    <w:rsid w:val="00C67F05"/>
    <w:rsid w:val="00C7225C"/>
    <w:rsid w:val="00C85FC5"/>
    <w:rsid w:val="00C93D7E"/>
    <w:rsid w:val="00CA3607"/>
    <w:rsid w:val="00CA4612"/>
    <w:rsid w:val="00CB74FC"/>
    <w:rsid w:val="00CE1C85"/>
    <w:rsid w:val="00CF084E"/>
    <w:rsid w:val="00D028EF"/>
    <w:rsid w:val="00D05B15"/>
    <w:rsid w:val="00D12C53"/>
    <w:rsid w:val="00D21AF6"/>
    <w:rsid w:val="00D449E6"/>
    <w:rsid w:val="00D44B0C"/>
    <w:rsid w:val="00D808D4"/>
    <w:rsid w:val="00DB6708"/>
    <w:rsid w:val="00DD7A40"/>
    <w:rsid w:val="00DE4E13"/>
    <w:rsid w:val="00DE72A1"/>
    <w:rsid w:val="00DF3009"/>
    <w:rsid w:val="00E03FEE"/>
    <w:rsid w:val="00E217B2"/>
    <w:rsid w:val="00E457D5"/>
    <w:rsid w:val="00E5260A"/>
    <w:rsid w:val="00E55772"/>
    <w:rsid w:val="00E5774C"/>
    <w:rsid w:val="00E62849"/>
    <w:rsid w:val="00E64370"/>
    <w:rsid w:val="00E7176A"/>
    <w:rsid w:val="00E7684F"/>
    <w:rsid w:val="00E95375"/>
    <w:rsid w:val="00EA0F82"/>
    <w:rsid w:val="00EA403E"/>
    <w:rsid w:val="00EA66DA"/>
    <w:rsid w:val="00EA6E4A"/>
    <w:rsid w:val="00EB659A"/>
    <w:rsid w:val="00EB76A9"/>
    <w:rsid w:val="00EC4B88"/>
    <w:rsid w:val="00EC5B25"/>
    <w:rsid w:val="00ED1F3C"/>
    <w:rsid w:val="00F21BC4"/>
    <w:rsid w:val="00F252F6"/>
    <w:rsid w:val="00F352F8"/>
    <w:rsid w:val="00F45C40"/>
    <w:rsid w:val="00F7281B"/>
    <w:rsid w:val="00F739E7"/>
    <w:rsid w:val="00F868F6"/>
    <w:rsid w:val="00FB0FE9"/>
    <w:rsid w:val="00FD0B57"/>
    <w:rsid w:val="00FD48F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C50"/>
  </w:style>
  <w:style w:type="paragraph" w:styleId="Ttulo1">
    <w:name w:val="heading 1"/>
    <w:basedOn w:val="Normal"/>
    <w:next w:val="Normal"/>
    <w:link w:val="Ttulo1Char"/>
    <w:uiPriority w:val="9"/>
    <w:qFormat/>
    <w:rsid w:val="004B1C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4B1C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4B1C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4B1C5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B1C50"/>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4B1C50"/>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4B1C50"/>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4B1C5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B1C50"/>
  </w:style>
  <w:style w:type="paragraph" w:styleId="Rodap">
    <w:name w:val="footer"/>
    <w:basedOn w:val="Normal"/>
    <w:link w:val="RodapChar"/>
    <w:uiPriority w:val="99"/>
    <w:unhideWhenUsed/>
    <w:rsid w:val="004B1C50"/>
    <w:pPr>
      <w:tabs>
        <w:tab w:val="center" w:pos="4252"/>
        <w:tab w:val="right" w:pos="8504"/>
      </w:tabs>
      <w:spacing w:after="0" w:line="240" w:lineRule="auto"/>
    </w:pPr>
  </w:style>
  <w:style w:type="character" w:customStyle="1" w:styleId="RodapChar">
    <w:name w:val="Rodapé Char"/>
    <w:basedOn w:val="Fontepargpadro"/>
    <w:link w:val="Rodap"/>
    <w:uiPriority w:val="99"/>
    <w:rsid w:val="004B1C50"/>
  </w:style>
  <w:style w:type="paragraph" w:customStyle="1" w:styleId="Ptexto">
    <w:name w:val="P_texto"/>
    <w:basedOn w:val="Normal"/>
    <w:link w:val="PtextoChar"/>
    <w:qFormat/>
    <w:rsid w:val="004B1C50"/>
    <w:pPr>
      <w:spacing w:line="360" w:lineRule="auto"/>
    </w:pPr>
    <w:rPr>
      <w:rFonts w:ascii="Arial" w:hAnsi="Arial"/>
      <w:sz w:val="24"/>
    </w:rPr>
  </w:style>
  <w:style w:type="character" w:customStyle="1" w:styleId="PtextoChar">
    <w:name w:val="P_texto Char"/>
    <w:basedOn w:val="Fontepargpadro"/>
    <w:link w:val="Ptexto"/>
    <w:rsid w:val="004B1C50"/>
    <w:rPr>
      <w:rFonts w:ascii="Arial" w:hAnsi="Arial"/>
      <w:sz w:val="24"/>
    </w:rPr>
  </w:style>
  <w:style w:type="table" w:styleId="Tabelacomgrade">
    <w:name w:val="Table Grid"/>
    <w:basedOn w:val="Tabelanormal"/>
    <w:uiPriority w:val="39"/>
    <w:rsid w:val="004B1C50"/>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4B1C50"/>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4B1C50"/>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4B1C50"/>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4B1C50"/>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4B1C50"/>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4B1C50"/>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4B1C50"/>
    <w:rPr>
      <w:color w:val="0563C1" w:themeColor="hyperlink"/>
      <w:u w:val="single"/>
    </w:rPr>
  </w:style>
  <w:style w:type="paragraph" w:styleId="Sumrio1">
    <w:name w:val="toc 1"/>
    <w:basedOn w:val="Normal"/>
    <w:next w:val="Normal"/>
    <w:autoRedefine/>
    <w:uiPriority w:val="39"/>
    <w:unhideWhenUsed/>
    <w:rsid w:val="004B1C50"/>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4B1C50"/>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4B1C50"/>
    <w:rPr>
      <w:rFonts w:ascii="Arial" w:hAnsi="Arial" w:cs="Arial"/>
      <w:sz w:val="24"/>
      <w:szCs w:val="24"/>
    </w:rPr>
  </w:style>
  <w:style w:type="paragraph" w:customStyle="1" w:styleId="PBullets">
    <w:name w:val="P_Bullets"/>
    <w:basedOn w:val="Ppargrafo"/>
    <w:link w:val="PBulletsChar"/>
    <w:qFormat/>
    <w:rsid w:val="004B1C50"/>
    <w:pPr>
      <w:numPr>
        <w:numId w:val="48"/>
      </w:numPr>
      <w:spacing w:before="120" w:after="240"/>
    </w:pPr>
  </w:style>
  <w:style w:type="character" w:customStyle="1" w:styleId="PBulletsChar">
    <w:name w:val="P_Bullets Char"/>
    <w:basedOn w:val="Fontepargpadro"/>
    <w:link w:val="PBullets"/>
    <w:rsid w:val="004B1C50"/>
    <w:rPr>
      <w:rFonts w:ascii="Arial" w:hAnsi="Arial" w:cs="Arial"/>
      <w:sz w:val="24"/>
      <w:szCs w:val="24"/>
    </w:rPr>
  </w:style>
  <w:style w:type="paragraph" w:customStyle="1" w:styleId="Pnmeros">
    <w:name w:val="P_números"/>
    <w:basedOn w:val="Ppargrafo"/>
    <w:link w:val="PnmerosChar"/>
    <w:qFormat/>
    <w:rsid w:val="004B1C50"/>
    <w:pPr>
      <w:tabs>
        <w:tab w:val="num" w:pos="720"/>
      </w:tabs>
      <w:ind w:left="855" w:hanging="720"/>
    </w:pPr>
  </w:style>
  <w:style w:type="character" w:customStyle="1" w:styleId="PnmerosChar">
    <w:name w:val="P_números Char"/>
    <w:basedOn w:val="PBulletsChar"/>
    <w:link w:val="Pnmeros"/>
    <w:rsid w:val="004B1C50"/>
    <w:rPr>
      <w:rFonts w:ascii="Arial" w:hAnsi="Arial" w:cs="Arial"/>
      <w:sz w:val="24"/>
      <w:szCs w:val="24"/>
    </w:rPr>
  </w:style>
  <w:style w:type="paragraph" w:customStyle="1" w:styleId="Ptextotabela">
    <w:name w:val="P_texto_tabela"/>
    <w:basedOn w:val="Normal"/>
    <w:link w:val="PtextotabelaChar"/>
    <w:qFormat/>
    <w:rsid w:val="004B1C50"/>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4B1C50"/>
    <w:rPr>
      <w:rFonts w:eastAsiaTheme="minorEastAsia" w:cs="Arial"/>
      <w:sz w:val="18"/>
      <w:szCs w:val="18"/>
    </w:rPr>
  </w:style>
  <w:style w:type="paragraph" w:styleId="Legenda">
    <w:name w:val="caption"/>
    <w:aliases w:val="P_Legenda"/>
    <w:basedOn w:val="Normal"/>
    <w:next w:val="Normal"/>
    <w:uiPriority w:val="35"/>
    <w:unhideWhenUsed/>
    <w:qFormat/>
    <w:rsid w:val="004B1C50"/>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4B1C50"/>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4B1C50"/>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4B1C50"/>
    <w:rPr>
      <w:rFonts w:ascii="Arial" w:eastAsiaTheme="majorEastAsia" w:hAnsi="Arial" w:cs="Arial"/>
      <w:b/>
      <w:sz w:val="24"/>
      <w:szCs w:val="24"/>
    </w:rPr>
  </w:style>
  <w:style w:type="paragraph" w:customStyle="1" w:styleId="Palfabeto">
    <w:name w:val="P_alfabeto"/>
    <w:basedOn w:val="Ppargrafo"/>
    <w:link w:val="PalfabetoChar"/>
    <w:qFormat/>
    <w:rsid w:val="004B1C50"/>
    <w:pPr>
      <w:numPr>
        <w:numId w:val="47"/>
      </w:numPr>
    </w:pPr>
  </w:style>
  <w:style w:type="character" w:customStyle="1" w:styleId="PalfabetoChar">
    <w:name w:val="P_alfabeto Char"/>
    <w:basedOn w:val="Fontepargpadro"/>
    <w:link w:val="Palfabeto"/>
    <w:rsid w:val="004B1C50"/>
    <w:rPr>
      <w:rFonts w:ascii="Arial" w:hAnsi="Arial" w:cs="Arial"/>
      <w:sz w:val="24"/>
      <w:szCs w:val="24"/>
    </w:rPr>
  </w:style>
  <w:style w:type="paragraph" w:customStyle="1" w:styleId="P11Ttulonumerado">
    <w:name w:val="P_1.1 Título_numerado"/>
    <w:basedOn w:val="Ttulo3"/>
    <w:link w:val="P11TtulonumeradoChar"/>
    <w:qFormat/>
    <w:rsid w:val="004B1C50"/>
    <w:pPr>
      <w:pBdr>
        <w:left w:val="single" w:sz="48" w:space="10" w:color="2A7138"/>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4B1C50"/>
    <w:pPr>
      <w:pBdr>
        <w:left w:val="single" w:sz="48" w:space="15" w:color="2A7138"/>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4B1C50"/>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4B1C50"/>
    <w:pPr>
      <w:numPr>
        <w:ilvl w:val="2"/>
        <w:numId w:val="46"/>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4B1C50"/>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4B1C50"/>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4B1C50"/>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4B1C50"/>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4B1C50"/>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4B1C50"/>
    <w:pPr>
      <w:tabs>
        <w:tab w:val="left" w:pos="660"/>
        <w:tab w:val="right" w:leader="dot" w:pos="8494"/>
      </w:tabs>
      <w:spacing w:after="100"/>
      <w:ind w:left="220"/>
    </w:pPr>
  </w:style>
  <w:style w:type="paragraph" w:styleId="Sumrio3">
    <w:name w:val="toc 3"/>
    <w:basedOn w:val="Normal"/>
    <w:next w:val="Normal"/>
    <w:autoRedefine/>
    <w:uiPriority w:val="39"/>
    <w:unhideWhenUsed/>
    <w:rsid w:val="004B1C50"/>
    <w:pPr>
      <w:spacing w:after="100"/>
      <w:ind w:left="440"/>
    </w:pPr>
  </w:style>
  <w:style w:type="paragraph" w:customStyle="1" w:styleId="Pimagem">
    <w:name w:val="P_imagem"/>
    <w:basedOn w:val="Ppargrafo"/>
    <w:link w:val="PimagemChar"/>
    <w:qFormat/>
    <w:rsid w:val="004B1C50"/>
    <w:pPr>
      <w:spacing w:after="0"/>
      <w:ind w:firstLine="0"/>
      <w:jc w:val="center"/>
    </w:pPr>
  </w:style>
  <w:style w:type="character" w:customStyle="1" w:styleId="PimagemChar">
    <w:name w:val="P_imagem Char"/>
    <w:basedOn w:val="PpargrafoChar"/>
    <w:link w:val="Pimagem"/>
    <w:rsid w:val="004B1C50"/>
    <w:rPr>
      <w:rFonts w:ascii="Arial" w:hAnsi="Arial" w:cs="Arial"/>
      <w:sz w:val="24"/>
      <w:szCs w:val="24"/>
    </w:rPr>
  </w:style>
  <w:style w:type="character" w:styleId="Refdecomentrio">
    <w:name w:val="annotation reference"/>
    <w:basedOn w:val="Fontepargpadro"/>
    <w:uiPriority w:val="99"/>
    <w:semiHidden/>
    <w:unhideWhenUsed/>
    <w:rsid w:val="004B1C50"/>
    <w:rPr>
      <w:sz w:val="16"/>
      <w:szCs w:val="16"/>
    </w:rPr>
  </w:style>
  <w:style w:type="table" w:styleId="TabeladeGradeClara">
    <w:name w:val="Grid Table Light"/>
    <w:basedOn w:val="Tabelanormal"/>
    <w:uiPriority w:val="40"/>
    <w:rsid w:val="004B1C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4B1C5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B1C50"/>
    <w:rPr>
      <w:sz w:val="20"/>
      <w:szCs w:val="20"/>
    </w:rPr>
  </w:style>
  <w:style w:type="paragraph" w:customStyle="1" w:styleId="txtrec">
    <w:name w:val="txt_rec"/>
    <w:basedOn w:val="Normal"/>
    <w:link w:val="txtrecChar"/>
    <w:uiPriority w:val="99"/>
    <w:qFormat/>
    <w:rsid w:val="004B1C50"/>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4B1C50"/>
    <w:rPr>
      <w:rFonts w:ascii="Arial" w:eastAsia="Calibri" w:hAnsi="Arial" w:cs="Calibri"/>
      <w:sz w:val="20"/>
      <w:lang w:eastAsia="pt-BR" w:bidi="pt-BR"/>
    </w:rPr>
  </w:style>
  <w:style w:type="table" w:customStyle="1" w:styleId="tabelaneuro">
    <w:name w:val="tabela_neuro"/>
    <w:basedOn w:val="Tabelanormal"/>
    <w:uiPriority w:val="99"/>
    <w:rsid w:val="004B1C50"/>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4B1C50"/>
    <w:rPr>
      <w:color w:val="808080"/>
    </w:rPr>
  </w:style>
  <w:style w:type="paragraph" w:styleId="Assuntodocomentrio">
    <w:name w:val="annotation subject"/>
    <w:basedOn w:val="Textodecomentrio"/>
    <w:next w:val="Textodecomentrio"/>
    <w:link w:val="AssuntodocomentrioChar"/>
    <w:uiPriority w:val="99"/>
    <w:semiHidden/>
    <w:unhideWhenUsed/>
    <w:rsid w:val="004B1C50"/>
    <w:rPr>
      <w:b/>
      <w:bCs/>
    </w:rPr>
  </w:style>
  <w:style w:type="character" w:customStyle="1" w:styleId="AssuntodocomentrioChar">
    <w:name w:val="Assunto do comentário Char"/>
    <w:basedOn w:val="TextodecomentrioChar"/>
    <w:link w:val="Assuntodocomentrio"/>
    <w:uiPriority w:val="99"/>
    <w:semiHidden/>
    <w:rsid w:val="004B1C50"/>
    <w:rPr>
      <w:b/>
      <w:bCs/>
      <w:sz w:val="20"/>
      <w:szCs w:val="20"/>
    </w:rPr>
  </w:style>
  <w:style w:type="table" w:customStyle="1" w:styleId="TableNormal">
    <w:name w:val="Table Normal"/>
    <w:rsid w:val="004B1C50"/>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4B1C50"/>
    <w:rPr>
      <w:color w:val="605E5C"/>
      <w:shd w:val="clear" w:color="auto" w:fill="E1DFDD"/>
    </w:rPr>
  </w:style>
  <w:style w:type="paragraph" w:customStyle="1" w:styleId="arttIMG">
    <w:name w:val="artt_IMG"/>
    <w:basedOn w:val="Normal"/>
    <w:link w:val="arttIMGChar"/>
    <w:qFormat/>
    <w:rsid w:val="004B1C50"/>
    <w:pPr>
      <w:spacing w:after="0"/>
      <w:jc w:val="center"/>
    </w:pPr>
  </w:style>
  <w:style w:type="character" w:customStyle="1" w:styleId="arttIMGChar">
    <w:name w:val="artt_IMG Char"/>
    <w:basedOn w:val="Fontepargpadro"/>
    <w:link w:val="arttIMG"/>
    <w:rsid w:val="004B1C50"/>
  </w:style>
  <w:style w:type="paragraph" w:styleId="Subttulo">
    <w:name w:val="Subtitle"/>
    <w:basedOn w:val="Normal"/>
    <w:next w:val="Normal"/>
    <w:link w:val="SubttuloChar"/>
    <w:uiPriority w:val="11"/>
    <w:qFormat/>
    <w:rsid w:val="004B1C50"/>
    <w:pPr>
      <w:keepNext/>
      <w:keepLines/>
      <w:spacing w:after="320"/>
    </w:pPr>
    <w:rPr>
      <w:color w:val="666666"/>
      <w:sz w:val="30"/>
      <w:szCs w:val="30"/>
    </w:rPr>
  </w:style>
  <w:style w:type="character" w:customStyle="1" w:styleId="SubttuloChar">
    <w:name w:val="Subtítulo Char"/>
    <w:basedOn w:val="Fontepargpadro"/>
    <w:link w:val="Subttulo"/>
    <w:uiPriority w:val="11"/>
    <w:rsid w:val="004B1C50"/>
    <w:rPr>
      <w:color w:val="666666"/>
      <w:sz w:val="30"/>
      <w:szCs w:val="30"/>
    </w:rPr>
  </w:style>
  <w:style w:type="paragraph" w:styleId="Ttulo">
    <w:name w:val="Title"/>
    <w:basedOn w:val="Normal"/>
    <w:next w:val="Normal"/>
    <w:link w:val="TtuloChar"/>
    <w:uiPriority w:val="10"/>
    <w:qFormat/>
    <w:rsid w:val="004B1C50"/>
    <w:pPr>
      <w:keepNext/>
      <w:keepLines/>
      <w:spacing w:after="60"/>
    </w:pPr>
    <w:rPr>
      <w:sz w:val="52"/>
      <w:szCs w:val="52"/>
    </w:rPr>
  </w:style>
  <w:style w:type="character" w:customStyle="1" w:styleId="TtuloChar">
    <w:name w:val="Título Char"/>
    <w:basedOn w:val="Fontepargpadro"/>
    <w:link w:val="Ttulo"/>
    <w:uiPriority w:val="10"/>
    <w:rsid w:val="004B1C50"/>
    <w:rPr>
      <w:sz w:val="52"/>
      <w:szCs w:val="52"/>
    </w:rPr>
  </w:style>
  <w:style w:type="character" w:customStyle="1" w:styleId="Ttulo5Char">
    <w:name w:val="Título 5 Char"/>
    <w:basedOn w:val="Fontepargpadro"/>
    <w:link w:val="Ttulo5"/>
    <w:uiPriority w:val="9"/>
    <w:semiHidden/>
    <w:rsid w:val="004B1C50"/>
    <w:rPr>
      <w:color w:val="666666"/>
    </w:rPr>
  </w:style>
  <w:style w:type="character" w:customStyle="1" w:styleId="Ttulo6Char">
    <w:name w:val="Título 6 Char"/>
    <w:basedOn w:val="Fontepargpadro"/>
    <w:link w:val="Ttulo6"/>
    <w:uiPriority w:val="9"/>
    <w:semiHidden/>
    <w:rsid w:val="004B1C50"/>
    <w:rPr>
      <w:i/>
      <w:color w:val="666666"/>
    </w:rPr>
  </w:style>
  <w:style w:type="table" w:customStyle="1" w:styleId="Ptabela">
    <w:name w:val="P_tabela"/>
    <w:basedOn w:val="Tabelanormal"/>
    <w:uiPriority w:val="99"/>
    <w:rsid w:val="00CE1C85"/>
    <w:pPr>
      <w:spacing w:after="0" w:line="240" w:lineRule="auto"/>
    </w:pPr>
    <w:tblPr>
      <w:jc w:val="center"/>
      <w:tblCellMar>
        <w:left w:w="1701" w:type="dxa"/>
        <w:right w:w="1134" w:type="dxa"/>
      </w:tblCellMa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6384">
      <w:bodyDiv w:val="1"/>
      <w:marLeft w:val="0"/>
      <w:marRight w:val="0"/>
      <w:marTop w:val="0"/>
      <w:marBottom w:val="0"/>
      <w:divBdr>
        <w:top w:val="none" w:sz="0" w:space="0" w:color="auto"/>
        <w:left w:val="none" w:sz="0" w:space="0" w:color="auto"/>
        <w:bottom w:val="none" w:sz="0" w:space="0" w:color="auto"/>
        <w:right w:val="none" w:sz="0" w:space="0" w:color="auto"/>
      </w:divBdr>
    </w:div>
    <w:div w:id="46074315">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58830650">
      <w:bodyDiv w:val="1"/>
      <w:marLeft w:val="0"/>
      <w:marRight w:val="0"/>
      <w:marTop w:val="0"/>
      <w:marBottom w:val="0"/>
      <w:divBdr>
        <w:top w:val="none" w:sz="0" w:space="0" w:color="auto"/>
        <w:left w:val="none" w:sz="0" w:space="0" w:color="auto"/>
        <w:bottom w:val="none" w:sz="0" w:space="0" w:color="auto"/>
        <w:right w:val="none" w:sz="0" w:space="0" w:color="auto"/>
      </w:divBdr>
    </w:div>
    <w:div w:id="295795101">
      <w:bodyDiv w:val="1"/>
      <w:marLeft w:val="0"/>
      <w:marRight w:val="0"/>
      <w:marTop w:val="0"/>
      <w:marBottom w:val="0"/>
      <w:divBdr>
        <w:top w:val="none" w:sz="0" w:space="0" w:color="auto"/>
        <w:left w:val="none" w:sz="0" w:space="0" w:color="auto"/>
        <w:bottom w:val="none" w:sz="0" w:space="0" w:color="auto"/>
        <w:right w:val="none" w:sz="0" w:space="0" w:color="auto"/>
      </w:divBdr>
    </w:div>
    <w:div w:id="322201681">
      <w:bodyDiv w:val="1"/>
      <w:marLeft w:val="0"/>
      <w:marRight w:val="0"/>
      <w:marTop w:val="0"/>
      <w:marBottom w:val="0"/>
      <w:divBdr>
        <w:top w:val="none" w:sz="0" w:space="0" w:color="auto"/>
        <w:left w:val="none" w:sz="0" w:space="0" w:color="auto"/>
        <w:bottom w:val="none" w:sz="0" w:space="0" w:color="auto"/>
        <w:right w:val="none" w:sz="0" w:space="0" w:color="auto"/>
      </w:divBdr>
    </w:div>
    <w:div w:id="330565193">
      <w:bodyDiv w:val="1"/>
      <w:marLeft w:val="0"/>
      <w:marRight w:val="0"/>
      <w:marTop w:val="0"/>
      <w:marBottom w:val="0"/>
      <w:divBdr>
        <w:top w:val="none" w:sz="0" w:space="0" w:color="auto"/>
        <w:left w:val="none" w:sz="0" w:space="0" w:color="auto"/>
        <w:bottom w:val="none" w:sz="0" w:space="0" w:color="auto"/>
        <w:right w:val="none" w:sz="0" w:space="0" w:color="auto"/>
      </w:divBdr>
    </w:div>
    <w:div w:id="401872812">
      <w:bodyDiv w:val="1"/>
      <w:marLeft w:val="0"/>
      <w:marRight w:val="0"/>
      <w:marTop w:val="0"/>
      <w:marBottom w:val="0"/>
      <w:divBdr>
        <w:top w:val="none" w:sz="0" w:space="0" w:color="auto"/>
        <w:left w:val="none" w:sz="0" w:space="0" w:color="auto"/>
        <w:bottom w:val="none" w:sz="0" w:space="0" w:color="auto"/>
        <w:right w:val="none" w:sz="0" w:space="0" w:color="auto"/>
      </w:divBdr>
    </w:div>
    <w:div w:id="404300967">
      <w:bodyDiv w:val="1"/>
      <w:marLeft w:val="0"/>
      <w:marRight w:val="0"/>
      <w:marTop w:val="0"/>
      <w:marBottom w:val="0"/>
      <w:divBdr>
        <w:top w:val="none" w:sz="0" w:space="0" w:color="auto"/>
        <w:left w:val="none" w:sz="0" w:space="0" w:color="auto"/>
        <w:bottom w:val="none" w:sz="0" w:space="0" w:color="auto"/>
        <w:right w:val="none" w:sz="0" w:space="0" w:color="auto"/>
      </w:divBdr>
    </w:div>
    <w:div w:id="416905133">
      <w:bodyDiv w:val="1"/>
      <w:marLeft w:val="0"/>
      <w:marRight w:val="0"/>
      <w:marTop w:val="0"/>
      <w:marBottom w:val="0"/>
      <w:divBdr>
        <w:top w:val="none" w:sz="0" w:space="0" w:color="auto"/>
        <w:left w:val="none" w:sz="0" w:space="0" w:color="auto"/>
        <w:bottom w:val="none" w:sz="0" w:space="0" w:color="auto"/>
        <w:right w:val="none" w:sz="0" w:space="0" w:color="auto"/>
      </w:divBdr>
    </w:div>
    <w:div w:id="432484069">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56937268">
      <w:bodyDiv w:val="1"/>
      <w:marLeft w:val="0"/>
      <w:marRight w:val="0"/>
      <w:marTop w:val="0"/>
      <w:marBottom w:val="0"/>
      <w:divBdr>
        <w:top w:val="none" w:sz="0" w:space="0" w:color="auto"/>
        <w:left w:val="none" w:sz="0" w:space="0" w:color="auto"/>
        <w:bottom w:val="none" w:sz="0" w:space="0" w:color="auto"/>
        <w:right w:val="none" w:sz="0" w:space="0" w:color="auto"/>
      </w:divBdr>
    </w:div>
    <w:div w:id="713892628">
      <w:bodyDiv w:val="1"/>
      <w:marLeft w:val="0"/>
      <w:marRight w:val="0"/>
      <w:marTop w:val="0"/>
      <w:marBottom w:val="0"/>
      <w:divBdr>
        <w:top w:val="none" w:sz="0" w:space="0" w:color="auto"/>
        <w:left w:val="none" w:sz="0" w:space="0" w:color="auto"/>
        <w:bottom w:val="none" w:sz="0" w:space="0" w:color="auto"/>
        <w:right w:val="none" w:sz="0" w:space="0" w:color="auto"/>
      </w:divBdr>
    </w:div>
    <w:div w:id="762184230">
      <w:bodyDiv w:val="1"/>
      <w:marLeft w:val="0"/>
      <w:marRight w:val="0"/>
      <w:marTop w:val="0"/>
      <w:marBottom w:val="0"/>
      <w:divBdr>
        <w:top w:val="none" w:sz="0" w:space="0" w:color="auto"/>
        <w:left w:val="none" w:sz="0" w:space="0" w:color="auto"/>
        <w:bottom w:val="none" w:sz="0" w:space="0" w:color="auto"/>
        <w:right w:val="none" w:sz="0" w:space="0" w:color="auto"/>
      </w:divBdr>
    </w:div>
    <w:div w:id="859204012">
      <w:bodyDiv w:val="1"/>
      <w:marLeft w:val="0"/>
      <w:marRight w:val="0"/>
      <w:marTop w:val="0"/>
      <w:marBottom w:val="0"/>
      <w:divBdr>
        <w:top w:val="none" w:sz="0" w:space="0" w:color="auto"/>
        <w:left w:val="none" w:sz="0" w:space="0" w:color="auto"/>
        <w:bottom w:val="none" w:sz="0" w:space="0" w:color="auto"/>
        <w:right w:val="none" w:sz="0" w:space="0" w:color="auto"/>
      </w:divBdr>
    </w:div>
    <w:div w:id="890116510">
      <w:bodyDiv w:val="1"/>
      <w:marLeft w:val="0"/>
      <w:marRight w:val="0"/>
      <w:marTop w:val="0"/>
      <w:marBottom w:val="0"/>
      <w:divBdr>
        <w:top w:val="none" w:sz="0" w:space="0" w:color="auto"/>
        <w:left w:val="none" w:sz="0" w:space="0" w:color="auto"/>
        <w:bottom w:val="none" w:sz="0" w:space="0" w:color="auto"/>
        <w:right w:val="none" w:sz="0" w:space="0" w:color="auto"/>
      </w:divBdr>
    </w:div>
    <w:div w:id="924385468">
      <w:bodyDiv w:val="1"/>
      <w:marLeft w:val="0"/>
      <w:marRight w:val="0"/>
      <w:marTop w:val="0"/>
      <w:marBottom w:val="0"/>
      <w:divBdr>
        <w:top w:val="none" w:sz="0" w:space="0" w:color="auto"/>
        <w:left w:val="none" w:sz="0" w:space="0" w:color="auto"/>
        <w:bottom w:val="none" w:sz="0" w:space="0" w:color="auto"/>
        <w:right w:val="none" w:sz="0" w:space="0" w:color="auto"/>
      </w:divBdr>
    </w:div>
    <w:div w:id="947011464">
      <w:bodyDiv w:val="1"/>
      <w:marLeft w:val="0"/>
      <w:marRight w:val="0"/>
      <w:marTop w:val="0"/>
      <w:marBottom w:val="0"/>
      <w:divBdr>
        <w:top w:val="none" w:sz="0" w:space="0" w:color="auto"/>
        <w:left w:val="none" w:sz="0" w:space="0" w:color="auto"/>
        <w:bottom w:val="none" w:sz="0" w:space="0" w:color="auto"/>
        <w:right w:val="none" w:sz="0" w:space="0" w:color="auto"/>
      </w:divBdr>
    </w:div>
    <w:div w:id="1005280478">
      <w:bodyDiv w:val="1"/>
      <w:marLeft w:val="0"/>
      <w:marRight w:val="0"/>
      <w:marTop w:val="0"/>
      <w:marBottom w:val="0"/>
      <w:divBdr>
        <w:top w:val="none" w:sz="0" w:space="0" w:color="auto"/>
        <w:left w:val="none" w:sz="0" w:space="0" w:color="auto"/>
        <w:bottom w:val="none" w:sz="0" w:space="0" w:color="auto"/>
        <w:right w:val="none" w:sz="0" w:space="0" w:color="auto"/>
      </w:divBdr>
    </w:div>
    <w:div w:id="1026369341">
      <w:bodyDiv w:val="1"/>
      <w:marLeft w:val="0"/>
      <w:marRight w:val="0"/>
      <w:marTop w:val="0"/>
      <w:marBottom w:val="0"/>
      <w:divBdr>
        <w:top w:val="none" w:sz="0" w:space="0" w:color="auto"/>
        <w:left w:val="none" w:sz="0" w:space="0" w:color="auto"/>
        <w:bottom w:val="none" w:sz="0" w:space="0" w:color="auto"/>
        <w:right w:val="none" w:sz="0" w:space="0" w:color="auto"/>
      </w:divBdr>
    </w:div>
    <w:div w:id="1109008601">
      <w:bodyDiv w:val="1"/>
      <w:marLeft w:val="0"/>
      <w:marRight w:val="0"/>
      <w:marTop w:val="0"/>
      <w:marBottom w:val="0"/>
      <w:divBdr>
        <w:top w:val="none" w:sz="0" w:space="0" w:color="auto"/>
        <w:left w:val="none" w:sz="0" w:space="0" w:color="auto"/>
        <w:bottom w:val="none" w:sz="0" w:space="0" w:color="auto"/>
        <w:right w:val="none" w:sz="0" w:space="0" w:color="auto"/>
      </w:divBdr>
    </w:div>
    <w:div w:id="1161894817">
      <w:bodyDiv w:val="1"/>
      <w:marLeft w:val="0"/>
      <w:marRight w:val="0"/>
      <w:marTop w:val="0"/>
      <w:marBottom w:val="0"/>
      <w:divBdr>
        <w:top w:val="none" w:sz="0" w:space="0" w:color="auto"/>
        <w:left w:val="none" w:sz="0" w:space="0" w:color="auto"/>
        <w:bottom w:val="none" w:sz="0" w:space="0" w:color="auto"/>
        <w:right w:val="none" w:sz="0" w:space="0" w:color="auto"/>
      </w:divBdr>
    </w:div>
    <w:div w:id="1219826076">
      <w:bodyDiv w:val="1"/>
      <w:marLeft w:val="0"/>
      <w:marRight w:val="0"/>
      <w:marTop w:val="0"/>
      <w:marBottom w:val="0"/>
      <w:divBdr>
        <w:top w:val="none" w:sz="0" w:space="0" w:color="auto"/>
        <w:left w:val="none" w:sz="0" w:space="0" w:color="auto"/>
        <w:bottom w:val="none" w:sz="0" w:space="0" w:color="auto"/>
        <w:right w:val="none" w:sz="0" w:space="0" w:color="auto"/>
      </w:divBdr>
    </w:div>
    <w:div w:id="1268855682">
      <w:bodyDiv w:val="1"/>
      <w:marLeft w:val="0"/>
      <w:marRight w:val="0"/>
      <w:marTop w:val="0"/>
      <w:marBottom w:val="0"/>
      <w:divBdr>
        <w:top w:val="none" w:sz="0" w:space="0" w:color="auto"/>
        <w:left w:val="none" w:sz="0" w:space="0" w:color="auto"/>
        <w:bottom w:val="none" w:sz="0" w:space="0" w:color="auto"/>
        <w:right w:val="none" w:sz="0" w:space="0" w:color="auto"/>
      </w:divBdr>
    </w:div>
    <w:div w:id="1278022164">
      <w:bodyDiv w:val="1"/>
      <w:marLeft w:val="0"/>
      <w:marRight w:val="0"/>
      <w:marTop w:val="0"/>
      <w:marBottom w:val="0"/>
      <w:divBdr>
        <w:top w:val="none" w:sz="0" w:space="0" w:color="auto"/>
        <w:left w:val="none" w:sz="0" w:space="0" w:color="auto"/>
        <w:bottom w:val="none" w:sz="0" w:space="0" w:color="auto"/>
        <w:right w:val="none" w:sz="0" w:space="0" w:color="auto"/>
      </w:divBdr>
    </w:div>
    <w:div w:id="1440488730">
      <w:bodyDiv w:val="1"/>
      <w:marLeft w:val="0"/>
      <w:marRight w:val="0"/>
      <w:marTop w:val="0"/>
      <w:marBottom w:val="0"/>
      <w:divBdr>
        <w:top w:val="none" w:sz="0" w:space="0" w:color="auto"/>
        <w:left w:val="none" w:sz="0" w:space="0" w:color="auto"/>
        <w:bottom w:val="none" w:sz="0" w:space="0" w:color="auto"/>
        <w:right w:val="none" w:sz="0" w:space="0" w:color="auto"/>
      </w:divBdr>
    </w:div>
    <w:div w:id="1489903076">
      <w:bodyDiv w:val="1"/>
      <w:marLeft w:val="0"/>
      <w:marRight w:val="0"/>
      <w:marTop w:val="0"/>
      <w:marBottom w:val="0"/>
      <w:divBdr>
        <w:top w:val="none" w:sz="0" w:space="0" w:color="auto"/>
        <w:left w:val="none" w:sz="0" w:space="0" w:color="auto"/>
        <w:bottom w:val="none" w:sz="0" w:space="0" w:color="auto"/>
        <w:right w:val="none" w:sz="0" w:space="0" w:color="auto"/>
      </w:divBdr>
    </w:div>
    <w:div w:id="1534686102">
      <w:bodyDiv w:val="1"/>
      <w:marLeft w:val="0"/>
      <w:marRight w:val="0"/>
      <w:marTop w:val="0"/>
      <w:marBottom w:val="0"/>
      <w:divBdr>
        <w:top w:val="none" w:sz="0" w:space="0" w:color="auto"/>
        <w:left w:val="none" w:sz="0" w:space="0" w:color="auto"/>
        <w:bottom w:val="none" w:sz="0" w:space="0" w:color="auto"/>
        <w:right w:val="none" w:sz="0" w:space="0" w:color="auto"/>
      </w:divBdr>
    </w:div>
    <w:div w:id="156895136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9579481">
      <w:bodyDiv w:val="1"/>
      <w:marLeft w:val="0"/>
      <w:marRight w:val="0"/>
      <w:marTop w:val="0"/>
      <w:marBottom w:val="0"/>
      <w:divBdr>
        <w:top w:val="none" w:sz="0" w:space="0" w:color="auto"/>
        <w:left w:val="none" w:sz="0" w:space="0" w:color="auto"/>
        <w:bottom w:val="none" w:sz="0" w:space="0" w:color="auto"/>
        <w:right w:val="none" w:sz="0" w:space="0" w:color="auto"/>
      </w:divBdr>
    </w:div>
    <w:div w:id="1657034044">
      <w:bodyDiv w:val="1"/>
      <w:marLeft w:val="0"/>
      <w:marRight w:val="0"/>
      <w:marTop w:val="0"/>
      <w:marBottom w:val="0"/>
      <w:divBdr>
        <w:top w:val="none" w:sz="0" w:space="0" w:color="auto"/>
        <w:left w:val="none" w:sz="0" w:space="0" w:color="auto"/>
        <w:bottom w:val="none" w:sz="0" w:space="0" w:color="auto"/>
        <w:right w:val="none" w:sz="0" w:space="0" w:color="auto"/>
      </w:divBdr>
    </w:div>
    <w:div w:id="1754861201">
      <w:bodyDiv w:val="1"/>
      <w:marLeft w:val="0"/>
      <w:marRight w:val="0"/>
      <w:marTop w:val="0"/>
      <w:marBottom w:val="0"/>
      <w:divBdr>
        <w:top w:val="none" w:sz="0" w:space="0" w:color="auto"/>
        <w:left w:val="none" w:sz="0" w:space="0" w:color="auto"/>
        <w:bottom w:val="none" w:sz="0" w:space="0" w:color="auto"/>
        <w:right w:val="none" w:sz="0" w:space="0" w:color="auto"/>
      </w:divBdr>
    </w:div>
    <w:div w:id="1756173570">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01093378">
      <w:bodyDiv w:val="1"/>
      <w:marLeft w:val="0"/>
      <w:marRight w:val="0"/>
      <w:marTop w:val="0"/>
      <w:marBottom w:val="0"/>
      <w:divBdr>
        <w:top w:val="none" w:sz="0" w:space="0" w:color="auto"/>
        <w:left w:val="none" w:sz="0" w:space="0" w:color="auto"/>
        <w:bottom w:val="none" w:sz="0" w:space="0" w:color="auto"/>
        <w:right w:val="none" w:sz="0" w:space="0" w:color="auto"/>
      </w:divBdr>
    </w:div>
    <w:div w:id="1978563303">
      <w:bodyDiv w:val="1"/>
      <w:marLeft w:val="0"/>
      <w:marRight w:val="0"/>
      <w:marTop w:val="0"/>
      <w:marBottom w:val="0"/>
      <w:divBdr>
        <w:top w:val="none" w:sz="0" w:space="0" w:color="auto"/>
        <w:left w:val="none" w:sz="0" w:space="0" w:color="auto"/>
        <w:bottom w:val="none" w:sz="0" w:space="0" w:color="auto"/>
        <w:right w:val="none" w:sz="0" w:space="0" w:color="auto"/>
      </w:divBdr>
    </w:div>
    <w:div w:id="2040692652">
      <w:bodyDiv w:val="1"/>
      <w:marLeft w:val="0"/>
      <w:marRight w:val="0"/>
      <w:marTop w:val="0"/>
      <w:marBottom w:val="0"/>
      <w:divBdr>
        <w:top w:val="none" w:sz="0" w:space="0" w:color="auto"/>
        <w:left w:val="none" w:sz="0" w:space="0" w:color="auto"/>
        <w:bottom w:val="none" w:sz="0" w:space="0" w:color="auto"/>
        <w:right w:val="none" w:sz="0" w:space="0" w:color="auto"/>
      </w:divBdr>
    </w:div>
    <w:div w:id="2110729983">
      <w:bodyDiv w:val="1"/>
      <w:marLeft w:val="0"/>
      <w:marRight w:val="0"/>
      <w:marTop w:val="0"/>
      <w:marBottom w:val="0"/>
      <w:divBdr>
        <w:top w:val="none" w:sz="0" w:space="0" w:color="auto"/>
        <w:left w:val="none" w:sz="0" w:space="0" w:color="auto"/>
        <w:bottom w:val="none" w:sz="0" w:space="0" w:color="auto"/>
        <w:right w:val="none" w:sz="0" w:space="0" w:color="auto"/>
      </w:divBdr>
    </w:div>
    <w:div w:id="2122068018">
      <w:bodyDiv w:val="1"/>
      <w:marLeft w:val="0"/>
      <w:marRight w:val="0"/>
      <w:marTop w:val="0"/>
      <w:marBottom w:val="0"/>
      <w:divBdr>
        <w:top w:val="none" w:sz="0" w:space="0" w:color="auto"/>
        <w:left w:val="none" w:sz="0" w:space="0" w:color="auto"/>
        <w:bottom w:val="none" w:sz="0" w:space="0" w:color="auto"/>
        <w:right w:val="none" w:sz="0" w:space="0" w:color="auto"/>
      </w:divBdr>
    </w:div>
    <w:div w:id="213512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9436E8"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3E7E4E"/>
    <w:rsid w:val="004613E4"/>
    <w:rsid w:val="004727B1"/>
    <w:rsid w:val="0047536E"/>
    <w:rsid w:val="004D5266"/>
    <w:rsid w:val="00534858"/>
    <w:rsid w:val="005864A2"/>
    <w:rsid w:val="006A3DBC"/>
    <w:rsid w:val="006A7FD0"/>
    <w:rsid w:val="006C1FD5"/>
    <w:rsid w:val="00730569"/>
    <w:rsid w:val="007A1886"/>
    <w:rsid w:val="008216BD"/>
    <w:rsid w:val="00847F1E"/>
    <w:rsid w:val="009436E8"/>
    <w:rsid w:val="009C185E"/>
    <w:rsid w:val="00B10A55"/>
    <w:rsid w:val="00B243D8"/>
    <w:rsid w:val="00C37207"/>
    <w:rsid w:val="00DB0777"/>
    <w:rsid w:val="00FE455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1</Pages>
  <Words>2528</Words>
  <Characters>13652</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Aula 4 - 	Introdução ao planejamento para vacinação do Covid-19 - Passo 8, 9 e 10</vt:lpstr>
    </vt:vector>
  </TitlesOfParts>
  <Company/>
  <LinksUpToDate>false</LinksUpToDate>
  <CharactersWithSpaces>16148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4 - 	Introdução ao planejamento para vacinação do Covid-19 - Passo 8, 9 e 10</dc:title>
  <dc:subject/>
  <dc:creator>Guilherme Duarte Moreira</dc:creator>
  <cp:keywords/>
  <dc:description/>
  <cp:lastModifiedBy>Guilherme Duarte Moreira</cp:lastModifiedBy>
  <cp:revision>142</cp:revision>
  <cp:lastPrinted>2021-07-20T15:21:00Z</cp:lastPrinted>
  <dcterms:created xsi:type="dcterms:W3CDTF">2021-02-08T15:35:00Z</dcterms:created>
  <dcterms:modified xsi:type="dcterms:W3CDTF">2021-07-20T15:21:00Z</dcterms:modified>
</cp:coreProperties>
</file>